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520" w:lineRule="exact"/>
        <w:jc w:val="center"/>
        <w:textAlignment w:val="auto"/>
        <w:rPr>
          <w:rFonts w:hint="eastAsia" w:ascii="方正小标宋简体" w:hAnsi="方正小标宋简体" w:eastAsia="方正小标宋简体" w:cs="方正小标宋简体"/>
          <w:b w:val="0"/>
          <w:bCs w:val="0"/>
          <w:color w:val="000000"/>
          <w:sz w:val="36"/>
          <w:szCs w:val="36"/>
        </w:rPr>
      </w:pPr>
      <w:r>
        <w:rPr>
          <w:rFonts w:hint="eastAsia" w:ascii="方正小标宋简体" w:hAnsi="方正小标宋简体" w:eastAsia="方正小标宋简体" w:cs="方正小标宋简体"/>
          <w:b w:val="0"/>
          <w:bCs w:val="0"/>
          <w:color w:val="000000"/>
          <w:sz w:val="36"/>
          <w:szCs w:val="36"/>
          <w:lang w:val="en-US" w:eastAsia="zh-CN"/>
        </w:rPr>
        <w:t>2026年</w:t>
      </w:r>
      <w:r>
        <w:rPr>
          <w:rFonts w:hint="eastAsia" w:ascii="方正小标宋简体" w:hAnsi="方正小标宋简体" w:eastAsia="方正小标宋简体" w:cs="方正小标宋简体"/>
          <w:b w:val="0"/>
          <w:bCs w:val="0"/>
          <w:color w:val="000000"/>
          <w:sz w:val="36"/>
          <w:szCs w:val="36"/>
        </w:rPr>
        <w:t>廊坊市钢管产品质量监督抽查实施细则</w:t>
      </w:r>
    </w:p>
    <w:p>
      <w:pPr>
        <w:keepNext w:val="0"/>
        <w:keepLines w:val="0"/>
        <w:pageBreakBefore w:val="0"/>
        <w:kinsoku/>
        <w:wordWrap/>
        <w:overflowPunct/>
        <w:topLinePunct w:val="0"/>
        <w:bidi w:val="0"/>
        <w:adjustRightInd w:val="0"/>
        <w:snapToGrid w:val="0"/>
        <w:spacing w:line="520" w:lineRule="exact"/>
        <w:ind w:firstLine="640" w:firstLineChars="200"/>
        <w:textAlignment w:val="auto"/>
        <w:rPr>
          <w:rFonts w:hint="eastAsia" w:ascii="仿宋_GB2312" w:hAnsi="仿宋_GB2312" w:eastAsia="仿宋_GB2312" w:cs="仿宋_GB2312"/>
          <w:color w:val="000000"/>
          <w:sz w:val="32"/>
          <w:szCs w:val="32"/>
        </w:rPr>
      </w:pPr>
    </w:p>
    <w:p>
      <w:pPr>
        <w:keepNext w:val="0"/>
        <w:keepLines w:val="0"/>
        <w:pageBreakBefore w:val="0"/>
        <w:kinsoku/>
        <w:wordWrap/>
        <w:overflowPunct/>
        <w:topLinePunct w:val="0"/>
        <w:bidi w:val="0"/>
        <w:adjustRightInd w:val="0"/>
        <w:snapToGrid w:val="0"/>
        <w:spacing w:line="520" w:lineRule="exact"/>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抽样方</w:t>
      </w:r>
      <w:r>
        <w:rPr>
          <w:rFonts w:hint="eastAsia" w:ascii="仿宋_GB2312" w:hAnsi="仿宋_GB2312" w:eastAsia="仿宋_GB2312" w:cs="仿宋_GB2312"/>
          <w:color w:val="000000"/>
          <w:sz w:val="32"/>
          <w:szCs w:val="32"/>
          <w:lang w:eastAsia="zh-CN"/>
        </w:rPr>
        <w:t>法</w:t>
      </w:r>
    </w:p>
    <w:p>
      <w:pPr>
        <w:keepNext w:val="0"/>
        <w:keepLines w:val="0"/>
        <w:pageBreakBefore w:val="0"/>
        <w:kinsoku/>
        <w:wordWrap/>
        <w:overflowPunct/>
        <w:topLinePunct w:val="0"/>
        <w:bidi w:val="0"/>
        <w:snapToGrid w:val="0"/>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以随机抽样的方式在被抽样生产者、销售者的待销产品中抽取。随机数一般可使用</w:t>
      </w:r>
      <w:r>
        <w:rPr>
          <w:rFonts w:hint="eastAsia" w:ascii="仿宋_GB2312" w:hAnsi="仿宋_GB2312" w:eastAsia="仿宋_GB2312" w:cs="仿宋_GB2312"/>
          <w:color w:val="000000"/>
          <w:sz w:val="32"/>
          <w:szCs w:val="32"/>
          <w:lang w:eastAsia="zh-CN"/>
        </w:rPr>
        <w:t>投</w:t>
      </w:r>
      <w:r>
        <w:rPr>
          <w:rFonts w:hint="eastAsia" w:ascii="仿宋_GB2312" w:hAnsi="仿宋_GB2312" w:eastAsia="仿宋_GB2312" w:cs="仿宋_GB2312"/>
          <w:sz w:val="32"/>
          <w:szCs w:val="32"/>
        </w:rPr>
        <w:t>骰子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sz w:val="32"/>
          <w:szCs w:val="32"/>
        </w:rPr>
        <w:t>随机数表等方法产生。</w:t>
      </w:r>
    </w:p>
    <w:p>
      <w:pPr>
        <w:keepNext w:val="0"/>
        <w:keepLines w:val="0"/>
        <w:pageBreakBefore w:val="0"/>
        <w:kinsoku/>
        <w:wordWrap/>
        <w:overflowPunct/>
        <w:topLinePunct w:val="0"/>
        <w:bidi w:val="0"/>
        <w:snapToGrid w:val="0"/>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钢管外径不大于60.3mm时，1200mm×3支，抽取2组；钢管外径</w:t>
      </w:r>
      <w:r>
        <w:rPr>
          <w:rFonts w:hint="eastAsia" w:ascii="仿宋_GB2312" w:hAnsi="仿宋_GB2312" w:eastAsia="仿宋_GB2312" w:cs="仿宋_GB2312"/>
          <w:color w:val="000000"/>
          <w:sz w:val="32"/>
          <w:szCs w:val="32"/>
          <w:lang w:eastAsia="zh-CN"/>
        </w:rPr>
        <w:t>大于</w:t>
      </w:r>
      <w:r>
        <w:rPr>
          <w:rFonts w:hint="eastAsia" w:ascii="仿宋_GB2312" w:hAnsi="仿宋_GB2312" w:eastAsia="仿宋_GB2312" w:cs="仿宋_GB2312"/>
          <w:color w:val="000000"/>
          <w:sz w:val="32"/>
          <w:szCs w:val="32"/>
        </w:rPr>
        <w:t>60.3mm</w:t>
      </w:r>
      <w:r>
        <w:rPr>
          <w:rFonts w:hint="eastAsia" w:ascii="仿宋_GB2312" w:hAnsi="仿宋_GB2312" w:eastAsia="仿宋_GB2312" w:cs="仿宋_GB2312"/>
          <w:color w:val="000000"/>
          <w:sz w:val="32"/>
          <w:szCs w:val="32"/>
          <w:lang w:eastAsia="zh-CN"/>
        </w:rPr>
        <w:t>且小于</w:t>
      </w:r>
      <w:r>
        <w:rPr>
          <w:rFonts w:hint="eastAsia" w:ascii="仿宋_GB2312" w:hAnsi="仿宋_GB2312" w:eastAsia="仿宋_GB2312" w:cs="仿宋_GB2312"/>
          <w:color w:val="000000"/>
          <w:sz w:val="32"/>
          <w:szCs w:val="32"/>
        </w:rPr>
        <w:t>219.1mm时，1000mm×2支，抽取2组；直径超过219.1mm钢管：（200mm～400mm）×1支，抽取2组；对于企业交</w:t>
      </w:r>
      <w:bookmarkStart w:id="0" w:name="_GoBack"/>
      <w:bookmarkEnd w:id="0"/>
      <w:r>
        <w:rPr>
          <w:rFonts w:hint="eastAsia" w:ascii="仿宋_GB2312" w:hAnsi="仿宋_GB2312" w:eastAsia="仿宋_GB2312" w:cs="仿宋_GB2312"/>
          <w:color w:val="000000"/>
          <w:sz w:val="32"/>
          <w:szCs w:val="32"/>
        </w:rPr>
        <w:t>货时长度小于1000mm的小型管，可抽取实际长度的钢管×5支，抽取2组，能保证力学性能试验所需长度即可（</w:t>
      </w:r>
      <w:r>
        <w:rPr>
          <w:rFonts w:hint="eastAsia" w:ascii="仿宋_GB2312" w:hAnsi="仿宋_GB2312" w:eastAsia="仿宋_GB2312" w:cs="仿宋_GB2312"/>
          <w:color w:val="000000"/>
          <w:sz w:val="32"/>
          <w:szCs w:val="32"/>
          <w:lang w:eastAsia="zh-CN"/>
        </w:rPr>
        <w:t>所有抽取样本均为</w:t>
      </w:r>
      <w:r>
        <w:rPr>
          <w:rFonts w:hint="eastAsia" w:ascii="仿宋_GB2312" w:hAnsi="仿宋_GB2312" w:eastAsia="仿宋_GB2312" w:cs="仿宋_GB2312"/>
          <w:color w:val="000000"/>
          <w:sz w:val="32"/>
          <w:szCs w:val="32"/>
        </w:rPr>
        <w:t>检一组，备一组）。</w:t>
      </w:r>
    </w:p>
    <w:p>
      <w:pPr>
        <w:keepNext w:val="0"/>
        <w:keepLines w:val="0"/>
        <w:pageBreakBefore w:val="0"/>
        <w:numPr>
          <w:numId w:val="0"/>
        </w:numPr>
        <w:kinsoku/>
        <w:wordWrap/>
        <w:overflowPunct/>
        <w:topLinePunct w:val="0"/>
        <w:bidi w:val="0"/>
        <w:adjustRightInd w:val="0"/>
        <w:snapToGrid w:val="0"/>
        <w:spacing w:line="520" w:lineRule="exact"/>
        <w:ind w:firstLine="640" w:firstLineChars="200"/>
        <w:textAlignment w:val="auto"/>
        <w:rPr>
          <w:rFonts w:hint="eastAsia" w:ascii="仿宋_GB2312" w:hAnsi="仿宋_GB2312" w:eastAsia="仿宋_GB2312" w:cs="仿宋_GB2312"/>
          <w:color w:val="000000"/>
          <w:sz w:val="32"/>
          <w:szCs w:val="32"/>
          <w:lang w:val="en-US" w:eastAsia="zh"/>
        </w:rPr>
      </w:pPr>
      <w:r>
        <w:rPr>
          <w:rFonts w:hint="eastAsia" w:ascii="仿宋_GB2312" w:hAnsi="仿宋_GB2312" w:eastAsia="仿宋_GB2312" w:cs="仿宋_GB2312"/>
          <w:color w:val="000000"/>
          <w:sz w:val="32"/>
          <w:szCs w:val="32"/>
          <w:lang w:val="en-US" w:eastAsia="zh"/>
        </w:rPr>
        <w:t>2.</w:t>
      </w:r>
      <w:r>
        <w:rPr>
          <w:rFonts w:hint="eastAsia" w:ascii="仿宋_GB2312" w:hAnsi="仿宋_GB2312" w:eastAsia="仿宋_GB2312" w:cs="仿宋_GB2312"/>
          <w:color w:val="000000"/>
          <w:sz w:val="32"/>
          <w:szCs w:val="32"/>
        </w:rPr>
        <w:t>检验依据</w:t>
      </w:r>
      <w:r>
        <w:rPr>
          <w:rFonts w:hint="eastAsia" w:ascii="仿宋_GB2312" w:hAnsi="仿宋_GB2312" w:eastAsia="仿宋_GB2312" w:cs="仿宋_GB2312"/>
          <w:color w:val="000000"/>
          <w:sz w:val="32"/>
          <w:szCs w:val="32"/>
          <w:lang w:val="en-US" w:eastAsia="zh"/>
        </w:rPr>
        <w:t xml:space="preserve">    </w:t>
      </w:r>
    </w:p>
    <w:p>
      <w:pPr>
        <w:keepNext w:val="0"/>
        <w:keepLines w:val="0"/>
        <w:pageBreakBefore w:val="0"/>
        <w:numPr>
          <w:numId w:val="0"/>
        </w:numPr>
        <w:kinsoku/>
        <w:wordWrap/>
        <w:overflowPunct/>
        <w:topLinePunct w:val="0"/>
        <w:bidi w:val="0"/>
        <w:adjustRightInd w:val="0"/>
        <w:snapToGrid w:val="0"/>
        <w:spacing w:line="520" w:lineRule="exact"/>
        <w:ind w:firstLine="2415" w:firstLineChars="115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表1 钢管</w:t>
      </w:r>
      <w:r>
        <w:rPr>
          <w:rFonts w:hint="eastAsia" w:ascii="仿宋_GB2312" w:hAnsi="仿宋_GB2312" w:eastAsia="仿宋_GB2312" w:cs="仿宋_GB2312"/>
          <w:sz w:val="21"/>
          <w:szCs w:val="21"/>
          <w:lang w:eastAsia="zh-CN"/>
        </w:rPr>
        <w:t>产品</w:t>
      </w:r>
      <w:r>
        <w:rPr>
          <w:rFonts w:hint="eastAsia" w:ascii="仿宋_GB2312" w:hAnsi="仿宋_GB2312" w:eastAsia="仿宋_GB2312" w:cs="仿宋_GB2312"/>
          <w:sz w:val="21"/>
          <w:szCs w:val="21"/>
        </w:rPr>
        <w:t>检验项目及</w:t>
      </w:r>
      <w:r>
        <w:rPr>
          <w:rFonts w:hint="eastAsia" w:ascii="仿宋_GB2312" w:hAnsi="仿宋_GB2312" w:eastAsia="仿宋_GB2312" w:cs="仿宋_GB2312"/>
          <w:bCs/>
          <w:color w:val="000000"/>
          <w:sz w:val="21"/>
          <w:szCs w:val="21"/>
          <w:lang w:eastAsia="zh-CN"/>
        </w:rPr>
        <w:t>方法</w:t>
      </w:r>
      <w:r>
        <w:rPr>
          <w:rFonts w:hint="eastAsia" w:ascii="仿宋_GB2312" w:hAnsi="仿宋_GB2312" w:eastAsia="仿宋_GB2312" w:cs="仿宋_GB2312"/>
          <w:sz w:val="21"/>
          <w:szCs w:val="21"/>
        </w:rPr>
        <w:t>标准</w:t>
      </w:r>
    </w:p>
    <w:tbl>
      <w:tblPr>
        <w:tblStyle w:val="5"/>
        <w:tblW w:w="54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2"/>
        <w:gridCol w:w="602"/>
        <w:gridCol w:w="1865"/>
        <w:gridCol w:w="6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05" w:hRule="atLeast"/>
          <w:jc w:val="center"/>
        </w:trPr>
        <w:tc>
          <w:tcPr>
            <w:tcW w:w="34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分类</w:t>
            </w:r>
          </w:p>
        </w:tc>
        <w:tc>
          <w:tcPr>
            <w:tcW w:w="324"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00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adjustRightInd w:val="0"/>
              <w:snapToGrid w:val="0"/>
              <w:spacing w:line="4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检验项目</w:t>
            </w:r>
          </w:p>
        </w:tc>
        <w:tc>
          <w:tcPr>
            <w:tcW w:w="333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bidi w:val="0"/>
              <w:spacing w:line="440" w:lineRule="exact"/>
              <w:jc w:val="center"/>
              <w:textAlignment w:val="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sz w:val="21"/>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1" w:hRule="atLeast"/>
          <w:jc w:val="center"/>
        </w:trPr>
        <w:tc>
          <w:tcPr>
            <w:tcW w:w="340" w:type="pct"/>
            <w:vMerge w:val="restart"/>
            <w:tcBorders>
              <w:left w:val="single" w:color="auto" w:sz="4" w:space="0"/>
              <w:right w:val="single" w:color="auto" w:sz="4" w:space="0"/>
            </w:tcBorders>
            <w:shd w:val="clear" w:color="auto" w:fill="FFFFFF"/>
            <w:vAlign w:val="center"/>
          </w:tcPr>
          <w:p>
            <w:pPr>
              <w:keepNext w:val="0"/>
              <w:keepLines w:val="0"/>
              <w:pageBreakBefore w:val="0"/>
              <w:kinsoku/>
              <w:wordWrap/>
              <w:overflowPunct/>
              <w:topLinePunct w:val="0"/>
              <w:bidi w:val="0"/>
              <w:adjustRightInd w:val="0"/>
              <w:snapToGrid w:val="0"/>
              <w:spacing w:line="4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主要性能</w:t>
            </w:r>
          </w:p>
        </w:tc>
        <w:tc>
          <w:tcPr>
            <w:tcW w:w="32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bidi w:val="0"/>
              <w:adjustRightInd w:val="0"/>
              <w:snapToGrid w:val="0"/>
              <w:spacing w:line="440" w:lineRule="exact"/>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1</w:t>
            </w:r>
          </w:p>
        </w:tc>
        <w:tc>
          <w:tcPr>
            <w:tcW w:w="100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bidi w:val="0"/>
              <w:adjustRightInd w:val="0"/>
              <w:snapToGrid w:val="0"/>
              <w:spacing w:line="440" w:lineRule="exact"/>
              <w:jc w:val="center"/>
              <w:textAlignment w:val="auto"/>
              <w:rPr>
                <w:rFonts w:hint="eastAsia" w:ascii="仿宋_GB2312" w:hAnsi="仿宋_GB2312" w:eastAsia="仿宋_GB2312" w:cs="仿宋_GB2312"/>
                <w:sz w:val="21"/>
                <w:szCs w:val="21"/>
                <w:vertAlign w:val="superscript"/>
              </w:rPr>
            </w:pPr>
            <w:r>
              <w:rPr>
                <w:rFonts w:hint="eastAsia" w:ascii="仿宋_GB2312" w:hAnsi="仿宋_GB2312" w:eastAsia="仿宋_GB2312" w:cs="仿宋_GB2312"/>
                <w:sz w:val="21"/>
                <w:szCs w:val="21"/>
              </w:rPr>
              <w:t>拉伸试验</w:t>
            </w:r>
          </w:p>
        </w:tc>
        <w:tc>
          <w:tcPr>
            <w:tcW w:w="333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val="0"/>
              <w:autoSpaceDN w:val="0"/>
              <w:bidi w:val="0"/>
              <w:adjustRightInd w:val="0"/>
              <w:snapToGrid w:val="0"/>
              <w:spacing w:line="4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GB/T 228.1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1" w:hRule="atLeast"/>
          <w:jc w:val="center"/>
        </w:trPr>
        <w:tc>
          <w:tcPr>
            <w:tcW w:w="340" w:type="pct"/>
            <w:vMerge w:val="continue"/>
            <w:tcBorders>
              <w:left w:val="single" w:color="auto" w:sz="4" w:space="0"/>
              <w:right w:val="single" w:color="auto" w:sz="4" w:space="0"/>
            </w:tcBorders>
            <w:shd w:val="clear" w:color="auto" w:fill="FFFFFF"/>
            <w:vAlign w:val="center"/>
          </w:tcPr>
          <w:p>
            <w:pPr>
              <w:keepNext w:val="0"/>
              <w:keepLines w:val="0"/>
              <w:pageBreakBefore w:val="0"/>
              <w:kinsoku/>
              <w:wordWrap/>
              <w:overflowPunct/>
              <w:topLinePunct w:val="0"/>
              <w:bidi w:val="0"/>
              <w:adjustRightInd w:val="0"/>
              <w:snapToGrid w:val="0"/>
              <w:spacing w:line="440" w:lineRule="exact"/>
              <w:jc w:val="center"/>
              <w:textAlignment w:val="auto"/>
              <w:rPr>
                <w:rFonts w:hint="eastAsia" w:ascii="仿宋_GB2312" w:hAnsi="仿宋_GB2312" w:eastAsia="仿宋_GB2312" w:cs="仿宋_GB2312"/>
                <w:sz w:val="21"/>
                <w:szCs w:val="21"/>
              </w:rPr>
            </w:pPr>
          </w:p>
        </w:tc>
        <w:tc>
          <w:tcPr>
            <w:tcW w:w="32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bidi w:val="0"/>
              <w:adjustRightInd w:val="0"/>
              <w:snapToGrid w:val="0"/>
              <w:spacing w:line="440" w:lineRule="exact"/>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2</w:t>
            </w:r>
          </w:p>
        </w:tc>
        <w:tc>
          <w:tcPr>
            <w:tcW w:w="100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bidi w:val="0"/>
              <w:adjustRightInd w:val="0"/>
              <w:snapToGrid w:val="0"/>
              <w:spacing w:line="4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压扁试验</w:t>
            </w:r>
          </w:p>
        </w:tc>
        <w:tc>
          <w:tcPr>
            <w:tcW w:w="3330"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val="0"/>
              <w:autoSpaceDN w:val="0"/>
              <w:bidi w:val="0"/>
              <w:adjustRightInd w:val="0"/>
              <w:snapToGrid w:val="0"/>
              <w:spacing w:line="4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GB/T 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18" w:hRule="atLeast"/>
          <w:jc w:val="center"/>
        </w:trPr>
        <w:tc>
          <w:tcPr>
            <w:tcW w:w="340" w:type="pct"/>
            <w:vMerge w:val="continue"/>
            <w:tcBorders>
              <w:left w:val="single" w:color="auto" w:sz="4" w:space="0"/>
              <w:right w:val="single" w:color="auto" w:sz="4" w:space="0"/>
            </w:tcBorders>
            <w:shd w:val="clear" w:color="auto" w:fill="FFFFFF"/>
            <w:vAlign w:val="center"/>
          </w:tcPr>
          <w:p>
            <w:pPr>
              <w:keepNext w:val="0"/>
              <w:keepLines w:val="0"/>
              <w:pageBreakBefore w:val="0"/>
              <w:kinsoku/>
              <w:wordWrap/>
              <w:overflowPunct/>
              <w:topLinePunct w:val="0"/>
              <w:bidi w:val="0"/>
              <w:adjustRightInd w:val="0"/>
              <w:snapToGrid w:val="0"/>
              <w:spacing w:line="440" w:lineRule="exact"/>
              <w:jc w:val="center"/>
              <w:textAlignment w:val="auto"/>
              <w:rPr>
                <w:rFonts w:hint="eastAsia" w:ascii="仿宋_GB2312" w:hAnsi="仿宋_GB2312" w:eastAsia="仿宋_GB2312" w:cs="仿宋_GB2312"/>
                <w:sz w:val="21"/>
                <w:szCs w:val="21"/>
              </w:rPr>
            </w:pPr>
          </w:p>
        </w:tc>
        <w:tc>
          <w:tcPr>
            <w:tcW w:w="324" w:type="pct"/>
            <w:tcBorders>
              <w:top w:val="single" w:color="auto" w:sz="4" w:space="0"/>
              <w:left w:val="single" w:color="auto" w:sz="4" w:space="0"/>
              <w:right w:val="single" w:color="auto" w:sz="4" w:space="0"/>
            </w:tcBorders>
            <w:shd w:val="clear" w:color="auto" w:fill="FFFFFF"/>
            <w:vAlign w:val="center"/>
          </w:tcPr>
          <w:p>
            <w:pPr>
              <w:keepNext w:val="0"/>
              <w:keepLines w:val="0"/>
              <w:pageBreakBefore w:val="0"/>
              <w:kinsoku/>
              <w:wordWrap/>
              <w:overflowPunct/>
              <w:topLinePunct w:val="0"/>
              <w:bidi w:val="0"/>
              <w:adjustRightInd w:val="0"/>
              <w:snapToGrid w:val="0"/>
              <w:spacing w:line="440" w:lineRule="exact"/>
              <w:jc w:val="center"/>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val="en-US" w:eastAsia="zh-CN"/>
              </w:rPr>
              <w:t>3</w:t>
            </w:r>
          </w:p>
        </w:tc>
        <w:tc>
          <w:tcPr>
            <w:tcW w:w="1003" w:type="pct"/>
            <w:tcBorders>
              <w:top w:val="single" w:color="auto" w:sz="4" w:space="0"/>
              <w:left w:val="single" w:color="auto" w:sz="4" w:space="0"/>
              <w:right w:val="single" w:color="auto" w:sz="4" w:space="0"/>
            </w:tcBorders>
            <w:shd w:val="clear" w:color="auto" w:fill="FFFFFF"/>
            <w:vAlign w:val="center"/>
          </w:tcPr>
          <w:p>
            <w:pPr>
              <w:keepNext w:val="0"/>
              <w:keepLines w:val="0"/>
              <w:pageBreakBefore w:val="0"/>
              <w:kinsoku/>
              <w:wordWrap/>
              <w:overflowPunct/>
              <w:topLinePunct w:val="0"/>
              <w:bidi w:val="0"/>
              <w:adjustRightInd w:val="0"/>
              <w:snapToGrid w:val="0"/>
              <w:spacing w:line="4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镀锌层均匀性</w:t>
            </w:r>
          </w:p>
        </w:tc>
        <w:tc>
          <w:tcPr>
            <w:tcW w:w="3330" w:type="pct"/>
            <w:tcBorders>
              <w:top w:val="single" w:color="auto" w:sz="4" w:space="0"/>
              <w:left w:val="single" w:color="auto" w:sz="4" w:space="0"/>
              <w:right w:val="single" w:color="auto" w:sz="4" w:space="0"/>
            </w:tcBorders>
            <w:shd w:val="clear" w:color="auto" w:fill="FFFFFF"/>
            <w:vAlign w:val="center"/>
          </w:tcPr>
          <w:p>
            <w:pPr>
              <w:keepNext w:val="0"/>
              <w:keepLines w:val="0"/>
              <w:pageBreakBefore w:val="0"/>
              <w:kinsoku/>
              <w:wordWrap/>
              <w:overflowPunct/>
              <w:topLinePunct w:val="0"/>
              <w:autoSpaceDE w:val="0"/>
              <w:autoSpaceDN w:val="0"/>
              <w:bidi w:val="0"/>
              <w:adjustRightInd w:val="0"/>
              <w:snapToGrid w:val="0"/>
              <w:spacing w:line="44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GB/T 3091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95" w:hRule="atLeast"/>
          <w:jc w:val="center"/>
        </w:trPr>
        <w:tc>
          <w:tcPr>
            <w:tcW w:w="340"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仿宋_GB2312" w:hAnsi="仿宋_GB2312" w:eastAsia="仿宋_GB2312" w:cs="仿宋_GB2312"/>
                <w:sz w:val="21"/>
                <w:szCs w:val="21"/>
                <w:vertAlign w:val="superscript"/>
              </w:rPr>
            </w:pPr>
            <w:r>
              <w:rPr>
                <w:rFonts w:hint="eastAsia" w:ascii="仿宋_GB2312" w:hAnsi="仿宋_GB2312" w:eastAsia="仿宋_GB2312" w:cs="仿宋_GB2312"/>
                <w:sz w:val="21"/>
                <w:szCs w:val="21"/>
              </w:rPr>
              <w:t>备注</w:t>
            </w:r>
          </w:p>
        </w:tc>
        <w:tc>
          <w:tcPr>
            <w:tcW w:w="4659" w:type="pct"/>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numPr>
                <w:ilvl w:val="0"/>
                <w:numId w:val="1"/>
              </w:numPr>
              <w:kinsoku/>
              <w:wordWrap/>
              <w:overflowPunct/>
              <w:topLinePunct w:val="0"/>
              <w:bidi w:val="0"/>
              <w:adjustRightInd w:val="0"/>
              <w:snapToGrid w:val="0"/>
              <w:spacing w:line="440" w:lineRule="exact"/>
              <w:ind w:left="425" w:leftChars="0" w:hanging="425" w:firstLineChars="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一般结构用焊接钢管</w:t>
            </w:r>
            <w:r>
              <w:rPr>
                <w:rFonts w:hint="eastAsia" w:ascii="仿宋_GB2312" w:hAnsi="仿宋_GB2312" w:eastAsia="仿宋_GB2312" w:cs="仿宋_GB2312"/>
                <w:sz w:val="21"/>
                <w:szCs w:val="21"/>
                <w:lang w:eastAsia="zh-CN"/>
              </w:rPr>
              <w:t>只做原材拉伸试验。</w:t>
            </w:r>
          </w:p>
          <w:p>
            <w:pPr>
              <w:keepNext w:val="0"/>
              <w:keepLines w:val="0"/>
              <w:pageBreakBefore w:val="0"/>
              <w:numPr>
                <w:ilvl w:val="0"/>
                <w:numId w:val="1"/>
              </w:numPr>
              <w:kinsoku/>
              <w:wordWrap/>
              <w:overflowPunct/>
              <w:topLinePunct w:val="0"/>
              <w:bidi w:val="0"/>
              <w:adjustRightInd w:val="0"/>
              <w:snapToGrid w:val="0"/>
              <w:spacing w:line="440" w:lineRule="exact"/>
              <w:ind w:left="425" w:leftChars="0" w:hanging="425" w:firstLineChars="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压扁试验：低压流体输送用焊接钢管适用于外径D＞60.3mm的直缝高频电焊钢管</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直缝电焊钢管适用于外径D＞60.3mm的钢管</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一般结构用焊接钢管适用于</w:t>
            </w:r>
            <w:r>
              <w:rPr>
                <w:rFonts w:hint="eastAsia" w:ascii="仿宋_GB2312" w:hAnsi="仿宋_GB2312" w:eastAsia="仿宋_GB2312" w:cs="仿宋_GB2312"/>
                <w:sz w:val="21"/>
                <w:szCs w:val="21"/>
                <w:lang w:eastAsia="zh-CN"/>
              </w:rPr>
              <w:t>公称外径≥</w:t>
            </w:r>
            <w:r>
              <w:rPr>
                <w:rFonts w:hint="eastAsia" w:ascii="仿宋_GB2312" w:hAnsi="仿宋_GB2312" w:eastAsia="仿宋_GB2312" w:cs="仿宋_GB2312"/>
                <w:sz w:val="21"/>
                <w:szCs w:val="21"/>
              </w:rPr>
              <w:t>60.3mm的直缝电</w:t>
            </w:r>
            <w:r>
              <w:rPr>
                <w:rFonts w:hint="eastAsia" w:ascii="仿宋_GB2312" w:hAnsi="仿宋_GB2312" w:eastAsia="仿宋_GB2312" w:cs="仿宋_GB2312"/>
                <w:sz w:val="21"/>
                <w:szCs w:val="21"/>
                <w:lang w:eastAsia="zh-CN"/>
              </w:rPr>
              <w:t>阻</w:t>
            </w:r>
            <w:r>
              <w:rPr>
                <w:rFonts w:hint="eastAsia" w:ascii="仿宋_GB2312" w:hAnsi="仿宋_GB2312" w:eastAsia="仿宋_GB2312" w:cs="仿宋_GB2312"/>
                <w:sz w:val="21"/>
                <w:szCs w:val="21"/>
              </w:rPr>
              <w:t>焊钢管</w:t>
            </w:r>
            <w:r>
              <w:rPr>
                <w:rFonts w:hint="eastAsia" w:ascii="仿宋_GB2312" w:hAnsi="仿宋_GB2312" w:eastAsia="仿宋_GB2312" w:cs="仿宋_GB2312"/>
                <w:sz w:val="21"/>
                <w:szCs w:val="21"/>
                <w:lang w:eastAsia="zh-CN"/>
              </w:rPr>
              <w:t>、直缝高频焊热张减钢管；</w:t>
            </w:r>
            <w:r>
              <w:rPr>
                <w:rFonts w:hint="eastAsia" w:ascii="仿宋_GB2312" w:hAnsi="仿宋_GB2312" w:eastAsia="仿宋_GB2312" w:cs="仿宋_GB2312"/>
                <w:color w:val="auto"/>
                <w:sz w:val="21"/>
                <w:szCs w:val="21"/>
              </w:rPr>
              <w:t>结构用无缝钢管</w:t>
            </w:r>
            <w:r>
              <w:rPr>
                <w:rFonts w:hint="eastAsia" w:ascii="仿宋_GB2312" w:hAnsi="仿宋_GB2312" w:eastAsia="仿宋_GB2312" w:cs="仿宋_GB2312"/>
                <w:sz w:val="21"/>
                <w:szCs w:val="21"/>
              </w:rPr>
              <w:t>适用于</w:t>
            </w:r>
            <w:r>
              <w:rPr>
                <w:rFonts w:hint="eastAsia" w:ascii="仿宋_GB2312" w:hAnsi="仿宋_GB2312" w:eastAsia="仿宋_GB2312" w:cs="仿宋_GB2312"/>
                <w:sz w:val="21"/>
                <w:szCs w:val="21"/>
                <w:lang w:eastAsia="zh-CN"/>
              </w:rPr>
              <w:t>牌号为</w:t>
            </w:r>
            <w:r>
              <w:rPr>
                <w:rFonts w:hint="eastAsia" w:ascii="仿宋_GB2312" w:hAnsi="仿宋_GB2312" w:eastAsia="仿宋_GB2312" w:cs="仿宋_GB2312"/>
                <w:sz w:val="21"/>
                <w:szCs w:val="21"/>
                <w:lang w:val="en-US" w:eastAsia="zh-CN"/>
              </w:rPr>
              <w:t>10、15、20、25、20Mn、25Mn、Q345、Q390，公称</w:t>
            </w:r>
            <w:r>
              <w:rPr>
                <w:rFonts w:hint="eastAsia" w:ascii="仿宋_GB2312" w:hAnsi="仿宋_GB2312" w:eastAsia="仿宋_GB2312" w:cs="仿宋_GB2312"/>
                <w:sz w:val="21"/>
                <w:szCs w:val="21"/>
              </w:rPr>
              <w:t>外径D＞</w:t>
            </w:r>
            <w:r>
              <w:rPr>
                <w:rFonts w:hint="eastAsia" w:ascii="仿宋_GB2312" w:hAnsi="仿宋_GB2312" w:eastAsia="仿宋_GB2312" w:cs="仿宋_GB2312"/>
                <w:sz w:val="21"/>
                <w:szCs w:val="21"/>
                <w:lang w:val="en-US" w:eastAsia="zh-CN"/>
              </w:rPr>
              <w:t>22</w:t>
            </w:r>
            <w:r>
              <w:rPr>
                <w:rFonts w:hint="eastAsia" w:ascii="仿宋_GB2312" w:hAnsi="仿宋_GB2312" w:eastAsia="仿宋_GB2312" w:cs="仿宋_GB2312"/>
                <w:sz w:val="21"/>
                <w:szCs w:val="21"/>
              </w:rPr>
              <w:t>mm～</w:t>
            </w:r>
            <w:r>
              <w:rPr>
                <w:rFonts w:hint="eastAsia" w:ascii="仿宋_GB2312" w:hAnsi="仿宋_GB2312" w:eastAsia="仿宋_GB2312" w:cs="仿宋_GB2312"/>
                <w:sz w:val="21"/>
                <w:szCs w:val="21"/>
                <w:lang w:val="en-US" w:eastAsia="zh-CN"/>
              </w:rPr>
              <w:t>600</w:t>
            </w:r>
            <w:r>
              <w:rPr>
                <w:rFonts w:hint="eastAsia" w:ascii="仿宋_GB2312" w:hAnsi="仿宋_GB2312" w:eastAsia="仿宋_GB2312" w:cs="仿宋_GB2312"/>
                <w:sz w:val="21"/>
                <w:szCs w:val="21"/>
              </w:rPr>
              <w:t>mm</w:t>
            </w:r>
            <w:r>
              <w:rPr>
                <w:rFonts w:hint="eastAsia" w:ascii="仿宋_GB2312" w:hAnsi="仿宋_GB2312" w:eastAsia="仿宋_GB2312" w:cs="仿宋_GB2312"/>
                <w:sz w:val="21"/>
                <w:szCs w:val="21"/>
                <w:lang w:eastAsia="zh-CN"/>
              </w:rPr>
              <w:t>，并且壁厚与外径比值不大于</w:t>
            </w:r>
            <w:r>
              <w:rPr>
                <w:rFonts w:hint="eastAsia" w:ascii="仿宋_GB2312" w:hAnsi="仿宋_GB2312" w:eastAsia="仿宋_GB2312" w:cs="仿宋_GB2312"/>
                <w:sz w:val="21"/>
                <w:szCs w:val="21"/>
                <w:lang w:val="en-US" w:eastAsia="zh-CN"/>
              </w:rPr>
              <w:t>10％的</w:t>
            </w:r>
            <w:r>
              <w:rPr>
                <w:rFonts w:hint="eastAsia" w:ascii="仿宋_GB2312" w:hAnsi="仿宋_GB2312" w:eastAsia="仿宋_GB2312" w:cs="仿宋_GB2312"/>
                <w:sz w:val="21"/>
                <w:szCs w:val="21"/>
              </w:rPr>
              <w:t>钢管</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color w:val="auto"/>
                <w:sz w:val="21"/>
                <w:szCs w:val="21"/>
              </w:rPr>
              <w:t>输送流体用无缝钢管</w:t>
            </w:r>
            <w:r>
              <w:rPr>
                <w:rFonts w:hint="eastAsia" w:ascii="仿宋_GB2312" w:hAnsi="仿宋_GB2312" w:eastAsia="仿宋_GB2312" w:cs="仿宋_GB2312"/>
                <w:sz w:val="21"/>
                <w:szCs w:val="21"/>
              </w:rPr>
              <w:t>适用于外径D＞</w:t>
            </w:r>
            <w:r>
              <w:rPr>
                <w:rFonts w:hint="eastAsia" w:ascii="仿宋_GB2312" w:hAnsi="仿宋_GB2312" w:eastAsia="仿宋_GB2312" w:cs="仿宋_GB2312"/>
                <w:sz w:val="21"/>
                <w:szCs w:val="21"/>
                <w:lang w:val="en-US" w:eastAsia="zh-CN"/>
              </w:rPr>
              <w:t>22</w:t>
            </w:r>
            <w:r>
              <w:rPr>
                <w:rFonts w:hint="eastAsia" w:ascii="仿宋_GB2312" w:hAnsi="仿宋_GB2312" w:eastAsia="仿宋_GB2312" w:cs="仿宋_GB2312"/>
                <w:sz w:val="21"/>
                <w:szCs w:val="21"/>
              </w:rPr>
              <w:t>mm～</w:t>
            </w:r>
            <w:r>
              <w:rPr>
                <w:rFonts w:hint="eastAsia" w:ascii="仿宋_GB2312" w:hAnsi="仿宋_GB2312" w:eastAsia="仿宋_GB2312" w:cs="仿宋_GB2312"/>
                <w:sz w:val="21"/>
                <w:szCs w:val="21"/>
                <w:lang w:val="en-US" w:eastAsia="zh-CN"/>
              </w:rPr>
              <w:t>600</w:t>
            </w:r>
            <w:r>
              <w:rPr>
                <w:rFonts w:hint="eastAsia" w:ascii="仿宋_GB2312" w:hAnsi="仿宋_GB2312" w:eastAsia="仿宋_GB2312" w:cs="仿宋_GB2312"/>
                <w:sz w:val="21"/>
                <w:szCs w:val="21"/>
              </w:rPr>
              <w:t>mm</w:t>
            </w:r>
            <w:r>
              <w:rPr>
                <w:rFonts w:hint="eastAsia" w:ascii="仿宋_GB2312" w:hAnsi="仿宋_GB2312" w:eastAsia="仿宋_GB2312" w:cs="仿宋_GB2312"/>
                <w:sz w:val="21"/>
                <w:szCs w:val="21"/>
                <w:lang w:eastAsia="zh-CN"/>
              </w:rPr>
              <w:t>，且壁厚与外径比值不大于</w:t>
            </w:r>
            <w:r>
              <w:rPr>
                <w:rFonts w:hint="eastAsia" w:ascii="仿宋_GB2312" w:hAnsi="仿宋_GB2312" w:eastAsia="仿宋_GB2312" w:cs="仿宋_GB2312"/>
                <w:sz w:val="21"/>
                <w:szCs w:val="21"/>
                <w:lang w:val="en-US" w:eastAsia="zh-CN"/>
              </w:rPr>
              <w:t>10％的10、20、Q345、Q390牌号的</w:t>
            </w:r>
            <w:r>
              <w:rPr>
                <w:rFonts w:hint="eastAsia" w:ascii="仿宋_GB2312" w:hAnsi="仿宋_GB2312" w:eastAsia="仿宋_GB2312" w:cs="仿宋_GB2312"/>
                <w:sz w:val="21"/>
                <w:szCs w:val="21"/>
              </w:rPr>
              <w:t>钢管</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color w:val="auto"/>
                <w:sz w:val="21"/>
                <w:szCs w:val="21"/>
              </w:rPr>
              <w:t>流体输送用不锈钢无缝钢管</w:t>
            </w:r>
            <w:r>
              <w:rPr>
                <w:rFonts w:hint="eastAsia" w:ascii="仿宋_GB2312" w:hAnsi="仿宋_GB2312" w:eastAsia="仿宋_GB2312" w:cs="仿宋_GB2312"/>
                <w:sz w:val="21"/>
                <w:szCs w:val="21"/>
              </w:rPr>
              <w:t>适用于</w:t>
            </w:r>
            <w:r>
              <w:rPr>
                <w:rFonts w:hint="eastAsia" w:ascii="仿宋_GB2312" w:hAnsi="仿宋_GB2312" w:eastAsia="仿宋_GB2312" w:cs="仿宋_GB2312"/>
                <w:sz w:val="21"/>
                <w:szCs w:val="21"/>
                <w:lang w:eastAsia="zh-CN"/>
              </w:rPr>
              <w:t>壁厚不大于</w:t>
            </w:r>
            <w:r>
              <w:rPr>
                <w:rFonts w:hint="eastAsia" w:ascii="仿宋_GB2312" w:hAnsi="仿宋_GB2312" w:eastAsia="仿宋_GB2312" w:cs="仿宋_GB2312"/>
                <w:sz w:val="21"/>
                <w:szCs w:val="21"/>
                <w:lang w:val="en-US" w:eastAsia="zh-CN"/>
              </w:rPr>
              <w:t>10mm的</w:t>
            </w:r>
            <w:r>
              <w:rPr>
                <w:rFonts w:hint="eastAsia" w:ascii="仿宋_GB2312" w:hAnsi="仿宋_GB2312" w:eastAsia="仿宋_GB2312" w:cs="仿宋_GB2312"/>
                <w:sz w:val="21"/>
                <w:szCs w:val="21"/>
              </w:rPr>
              <w:t>钢管</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color w:val="auto"/>
                <w:sz w:val="21"/>
                <w:szCs w:val="21"/>
              </w:rPr>
              <w:t>机械结构用不锈钢焊接钢管</w:t>
            </w:r>
            <w:r>
              <w:rPr>
                <w:rFonts w:hint="eastAsia" w:ascii="仿宋_GB2312" w:hAnsi="仿宋_GB2312" w:eastAsia="仿宋_GB2312" w:cs="仿宋_GB2312"/>
                <w:sz w:val="21"/>
                <w:szCs w:val="21"/>
              </w:rPr>
              <w:t>适用于外径</w:t>
            </w:r>
            <w:r>
              <w:rPr>
                <w:rFonts w:hint="eastAsia" w:ascii="仿宋_GB2312" w:hAnsi="仿宋_GB2312" w:eastAsia="仿宋_GB2312" w:cs="仿宋_GB2312"/>
                <w:sz w:val="21"/>
                <w:szCs w:val="21"/>
                <w:lang w:eastAsia="zh-CN"/>
              </w:rPr>
              <w:t>不大于</w:t>
            </w:r>
            <w:r>
              <w:rPr>
                <w:rFonts w:hint="eastAsia" w:ascii="仿宋_GB2312" w:hAnsi="仿宋_GB2312" w:eastAsia="仿宋_GB2312" w:cs="仿宋_GB2312"/>
                <w:sz w:val="21"/>
                <w:szCs w:val="21"/>
                <w:lang w:val="en-US" w:eastAsia="zh-CN"/>
              </w:rPr>
              <w:t>219mm的</w:t>
            </w:r>
            <w:r>
              <w:rPr>
                <w:rFonts w:hint="eastAsia" w:ascii="仿宋_GB2312" w:hAnsi="仿宋_GB2312" w:eastAsia="仿宋_GB2312" w:cs="仿宋_GB2312"/>
                <w:sz w:val="21"/>
                <w:szCs w:val="21"/>
              </w:rPr>
              <w:t>钢管。</w:t>
            </w:r>
          </w:p>
          <w:p>
            <w:pPr>
              <w:keepNext w:val="0"/>
              <w:keepLines w:val="0"/>
              <w:pageBreakBefore w:val="0"/>
              <w:widowControl w:val="0"/>
              <w:numPr>
                <w:ilvl w:val="0"/>
                <w:numId w:val="1"/>
              </w:numPr>
              <w:kinsoku/>
              <w:wordWrap/>
              <w:overflowPunct/>
              <w:topLinePunct w:val="0"/>
              <w:autoSpaceDE/>
              <w:autoSpaceDN/>
              <w:bidi w:val="0"/>
              <w:adjustRightInd w:val="0"/>
              <w:snapToGrid w:val="0"/>
              <w:spacing w:line="440" w:lineRule="exact"/>
              <w:ind w:left="425" w:leftChars="0" w:hanging="425" w:firstLineChars="0"/>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镀锌层均匀性适用于镀锌钢管。</w:t>
            </w:r>
          </w:p>
          <w:p>
            <w:pPr>
              <w:keepNext w:val="0"/>
              <w:keepLines w:val="0"/>
              <w:pageBreakBefore w:val="0"/>
              <w:widowControl w:val="0"/>
              <w:numPr>
                <w:ilvl w:val="0"/>
                <w:numId w:val="1"/>
              </w:numPr>
              <w:kinsoku/>
              <w:wordWrap/>
              <w:overflowPunct/>
              <w:topLinePunct w:val="0"/>
              <w:autoSpaceDE/>
              <w:autoSpaceDN/>
              <w:bidi w:val="0"/>
              <w:adjustRightInd w:val="0"/>
              <w:snapToGrid w:val="0"/>
              <w:spacing w:line="440" w:lineRule="exact"/>
              <w:ind w:left="425" w:leftChars="0" w:hanging="425" w:firstLineChars="0"/>
              <w:textAlignment w:val="auto"/>
              <w:rPr>
                <w:rFonts w:hint="eastAsia" w:ascii="仿宋_GB2312" w:hAnsi="仿宋_GB2312" w:eastAsia="仿宋_GB2312" w:cs="仿宋_GB2312"/>
                <w:sz w:val="21"/>
                <w:szCs w:val="21"/>
                <w:lang w:eastAsia="zh-CN"/>
              </w:rPr>
            </w:pPr>
            <w:r>
              <w:rPr>
                <w:rFonts w:hint="eastAsia" w:ascii="仿宋_GB2312" w:hAnsi="仿宋_GB2312" w:eastAsia="仿宋_GB2312" w:cs="仿宋_GB2312"/>
                <w:sz w:val="21"/>
                <w:szCs w:val="21"/>
                <w:lang w:eastAsia="zh-CN"/>
              </w:rPr>
              <w:t>所抽取的无缝钢管产品应</w:t>
            </w:r>
            <w:r>
              <w:rPr>
                <w:rFonts w:hint="eastAsia" w:ascii="仿宋_GB2312" w:hAnsi="仿宋_GB2312" w:eastAsia="仿宋_GB2312" w:cs="仿宋_GB2312"/>
                <w:sz w:val="21"/>
                <w:szCs w:val="21"/>
              </w:rPr>
              <w:t>明确处理</w:t>
            </w:r>
            <w:r>
              <w:rPr>
                <w:rFonts w:hint="eastAsia" w:ascii="仿宋_GB2312" w:hAnsi="仿宋_GB2312" w:eastAsia="仿宋_GB2312" w:cs="仿宋_GB2312"/>
                <w:sz w:val="21"/>
                <w:szCs w:val="21"/>
                <w:lang w:eastAsia="zh-CN"/>
              </w:rPr>
              <w:t>的</w:t>
            </w:r>
            <w:r>
              <w:rPr>
                <w:rFonts w:hint="eastAsia" w:ascii="仿宋_GB2312" w:hAnsi="仿宋_GB2312" w:eastAsia="仿宋_GB2312" w:cs="仿宋_GB2312"/>
                <w:sz w:val="21"/>
                <w:szCs w:val="21"/>
              </w:rPr>
              <w:t>方式，不能明确的其检验结果不做判定依据</w:t>
            </w:r>
            <w:r>
              <w:rPr>
                <w:rFonts w:hint="eastAsia" w:ascii="仿宋_GB2312" w:hAnsi="仿宋_GB2312" w:eastAsia="仿宋_GB2312" w:cs="仿宋_GB2312"/>
                <w:sz w:val="21"/>
                <w:szCs w:val="21"/>
                <w:lang w:eastAsia="zh-CN"/>
              </w:rPr>
              <w:t>。</w:t>
            </w:r>
          </w:p>
        </w:tc>
      </w:tr>
    </w:tbl>
    <w:p>
      <w:pPr>
        <w:keepNext w:val="0"/>
        <w:keepLines w:val="0"/>
        <w:pageBreakBefore w:val="0"/>
        <w:kinsoku/>
        <w:wordWrap/>
        <w:overflowPunct/>
        <w:topLinePunct w:val="0"/>
        <w:bidi w:val="0"/>
        <w:adjustRightInd w:val="0"/>
        <w:snapToGrid w:val="0"/>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执行企业标准、团体标准、地方标准的产品，检验项目参照上述内容执行。</w:t>
      </w:r>
    </w:p>
    <w:p>
      <w:pPr>
        <w:keepNext w:val="0"/>
        <w:keepLines w:val="0"/>
        <w:pageBreakBefore w:val="0"/>
        <w:kinsoku/>
        <w:wordWrap/>
        <w:overflowPunct/>
        <w:topLinePunct w:val="0"/>
        <w:bidi w:val="0"/>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凡是注日期的文件，其随后所有的修改单（不包括勘误的内容）或修订版不适用于本细则。凡是不注日期的文件，其最新版本适用于本细则。</w:t>
      </w:r>
    </w:p>
    <w:p>
      <w:pPr>
        <w:keepNext w:val="0"/>
        <w:keepLines w:val="0"/>
        <w:pageBreakBefore w:val="0"/>
        <w:kinsoku/>
        <w:wordWrap/>
        <w:overflowPunct/>
        <w:topLinePunct w:val="0"/>
        <w:bidi w:val="0"/>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判定规则</w:t>
      </w:r>
    </w:p>
    <w:p>
      <w:pPr>
        <w:keepNext w:val="0"/>
        <w:keepLines w:val="0"/>
        <w:pageBreakBefore w:val="0"/>
        <w:kinsoku/>
        <w:wordWrap/>
        <w:overflowPunct/>
        <w:topLinePunct w:val="0"/>
        <w:bidi w:val="0"/>
        <w:snapToGrid w:val="0"/>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3.1依据标准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GB/T 700-2006</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《碳素结构钢》</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GB/T 1591-2018</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《低合金高强度结构钢》</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GB/T 3091-20</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《低压流体输送用焊接钢管》</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GB/T 13793-2016</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《直缝电焊钢管》</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SY/T 5768-2016</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《一般结构用焊接钢管》</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GB/T 8162-2018</w:t>
      </w:r>
      <w:r>
        <w:rPr>
          <w:rFonts w:hint="eastAsia" w:ascii="仿宋_GB2312" w:hAnsi="仿宋_GB2312" w:eastAsia="仿宋_GB2312" w:cs="仿宋_GB2312"/>
          <w:color w:val="000000"/>
          <w:sz w:val="32"/>
          <w:szCs w:val="32"/>
        </w:rPr>
        <w:tab/>
      </w:r>
      <w:r>
        <w:rPr>
          <w:rFonts w:hint="eastAsia" w:ascii="仿宋_GB2312" w:hAnsi="仿宋_GB2312" w:eastAsia="仿宋_GB2312" w:cs="仿宋_GB2312"/>
          <w:color w:val="000000"/>
          <w:sz w:val="32"/>
          <w:szCs w:val="32"/>
        </w:rPr>
        <w:t>《结构用无缝钢管》</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GB/T 8163-2018</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《输送流体用无缝钢管》</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GB/T 14975-2025</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《结构用不锈钢无缝钢管》</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GB/T 14976-20</w:t>
      </w:r>
      <w:r>
        <w:rPr>
          <w:rFonts w:hint="eastAsia" w:ascii="仿宋_GB2312" w:hAnsi="仿宋_GB2312" w:eastAsia="仿宋_GB2312" w:cs="仿宋_GB2312"/>
          <w:color w:val="000000"/>
          <w:sz w:val="32"/>
          <w:szCs w:val="32"/>
          <w:lang w:val="en-US" w:eastAsia="zh-CN"/>
        </w:rPr>
        <w:t>25</w:t>
      </w:r>
      <w:r>
        <w:rPr>
          <w:rFonts w:hint="eastAsia" w:ascii="仿宋_GB2312" w:hAnsi="仿宋_GB2312" w:eastAsia="仿宋_GB2312" w:cs="仿宋_GB2312"/>
          <w:color w:val="000000"/>
          <w:sz w:val="32"/>
          <w:szCs w:val="32"/>
        </w:rPr>
        <w:tab/>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《流体输送用不锈钢无缝钢管》</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GB/T 12770-2025</w:t>
      </w:r>
      <w:r>
        <w:rPr>
          <w:rFonts w:hint="eastAsia" w:ascii="仿宋_GB2312" w:hAnsi="仿宋_GB2312" w:eastAsia="仿宋_GB2312" w:cs="仿宋_GB2312"/>
          <w:color w:val="000000"/>
          <w:sz w:val="32"/>
          <w:szCs w:val="32"/>
        </w:rPr>
        <w:tab/>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《机械结构用不锈钢焊接钢管》</w:t>
      </w:r>
    </w:p>
    <w:p>
      <w:pPr>
        <w:keepNext w:val="0"/>
        <w:keepLines w:val="0"/>
        <w:pageBreakBefore w:val="0"/>
        <w:widowControl w:val="0"/>
        <w:kinsoku/>
        <w:wordWrap/>
        <w:overflowPunct/>
        <w:topLinePunct w:val="0"/>
        <w:autoSpaceDE/>
        <w:autoSpaceDN/>
        <w:bidi w:val="0"/>
        <w:snapToGrid w:val="0"/>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现行有效的企业标准、团体标准、地方标准及产品明示质量要求。</w:t>
      </w:r>
    </w:p>
    <w:p>
      <w:pPr>
        <w:keepNext w:val="0"/>
        <w:keepLines w:val="0"/>
        <w:pageBreakBefore w:val="0"/>
        <w:kinsoku/>
        <w:wordWrap/>
        <w:overflowPunct/>
        <w:topLinePunct w:val="0"/>
        <w:bidi w:val="0"/>
        <w:snapToGrid w:val="0"/>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3.2判定原则</w:t>
      </w:r>
    </w:p>
    <w:p>
      <w:pPr>
        <w:keepNext w:val="0"/>
        <w:keepLines w:val="0"/>
        <w:pageBreakBefore w:val="0"/>
        <w:kinsoku/>
        <w:wordWrap/>
        <w:overflowPunct/>
        <w:topLinePunct w:val="0"/>
        <w:bidi w:val="0"/>
        <w:snapToGrid w:val="0"/>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经检验，检验项目全部合格，判定为被抽查产品所检项目未发现不合格；检验项目中任一项或一项以上不合格，判定为被抽查产品不合格。</w:t>
      </w:r>
    </w:p>
    <w:p>
      <w:pPr>
        <w:keepNext w:val="0"/>
        <w:keepLines w:val="0"/>
        <w:pageBreakBefore w:val="0"/>
        <w:kinsoku/>
        <w:wordWrap/>
        <w:overflowPunct/>
        <w:topLinePunct w:val="0"/>
        <w:bidi w:val="0"/>
        <w:snapToGrid w:val="0"/>
        <w:spacing w:line="520" w:lineRule="exact"/>
        <w:ind w:firstLine="636" w:firstLineChars="199"/>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若被检产品明示的质量要求高于本细则中检验项目依据的标准要求时，应按被检产品明示的质量要求判定。</w:t>
      </w:r>
    </w:p>
    <w:p>
      <w:pPr>
        <w:keepNext w:val="0"/>
        <w:keepLines w:val="0"/>
        <w:pageBreakBefore w:val="0"/>
        <w:kinsoku/>
        <w:wordWrap/>
        <w:overflowPunct/>
        <w:topLinePunct w:val="0"/>
        <w:bidi w:val="0"/>
        <w:snapToGrid w:val="0"/>
        <w:spacing w:line="520" w:lineRule="exact"/>
        <w:ind w:firstLine="636" w:firstLineChars="199"/>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若被检产品明示的质量要求低于本细则中检验项目依据的强制性标准要求时，应按照强制性标准要求判定。</w:t>
      </w:r>
    </w:p>
    <w:p>
      <w:pPr>
        <w:keepNext w:val="0"/>
        <w:keepLines w:val="0"/>
        <w:pageBreakBefore w:val="0"/>
        <w:kinsoku/>
        <w:wordWrap/>
        <w:overflowPunct/>
        <w:topLinePunct w:val="0"/>
        <w:bidi w:val="0"/>
        <w:snapToGrid w:val="0"/>
        <w:spacing w:line="520" w:lineRule="exact"/>
        <w:ind w:firstLine="636" w:firstLineChars="199"/>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若被检产品明示的质量要求低于或包含本细则中检验项目依据的推荐性标准要求时，应以被检产品明示的质量要求判定。</w:t>
      </w:r>
    </w:p>
    <w:p>
      <w:pPr>
        <w:keepNext w:val="0"/>
        <w:keepLines w:val="0"/>
        <w:pageBreakBefore w:val="0"/>
        <w:kinsoku/>
        <w:wordWrap/>
        <w:overflowPunct/>
        <w:topLinePunct w:val="0"/>
        <w:bidi w:val="0"/>
        <w:snapToGrid w:val="0"/>
        <w:spacing w:line="520" w:lineRule="exact"/>
        <w:ind w:firstLine="636" w:firstLineChars="199"/>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若被检产品明示的质量要求缺少本细则中检验项目依据的强制性标准要求时，应按照强制性标准要求判定。</w:t>
      </w:r>
    </w:p>
    <w:p>
      <w:pPr>
        <w:keepNext w:val="0"/>
        <w:keepLines w:val="0"/>
        <w:pageBreakBefore w:val="0"/>
        <w:kinsoku/>
        <w:wordWrap/>
        <w:overflowPunct/>
        <w:topLinePunct w:val="0"/>
        <w:bidi w:val="0"/>
        <w:snapToGrid w:val="0"/>
        <w:spacing w:line="520" w:lineRule="exact"/>
        <w:ind w:firstLine="636" w:firstLineChars="199"/>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若被检产品明示的质量要求缺少本细则中检验项目依据的推荐性标准要求时，该项目不参与判定。</w:t>
      </w:r>
    </w:p>
    <w:p>
      <w:pPr>
        <w:keepNext w:val="0"/>
        <w:keepLines w:val="0"/>
        <w:pageBreakBefore w:val="0"/>
        <w:kinsoku/>
        <w:wordWrap/>
        <w:overflowPunct/>
        <w:topLinePunct w:val="0"/>
        <w:bidi w:val="0"/>
        <w:adjustRightInd w:val="0"/>
        <w:snapToGrid w:val="0"/>
        <w:spacing w:line="520" w:lineRule="exact"/>
        <w:ind w:firstLine="640" w:firstLineChars="200"/>
        <w:textAlignment w:val="auto"/>
        <w:rPr>
          <w:rFonts w:hint="eastAsia" w:ascii="仿宋_GB2312" w:hAnsi="仿宋_GB2312" w:eastAsia="仿宋_GB2312" w:cs="仿宋_GB2312"/>
          <w:color w:val="000000"/>
          <w:sz w:val="32"/>
          <w:szCs w:val="32"/>
          <w:lang w:val="en-US" w:eastAsia="zh-CN"/>
        </w:rPr>
      </w:pPr>
    </w:p>
    <w:sectPr>
      <w:headerReference r:id="rId3" w:type="default"/>
      <w:footerReference r:id="rId4" w:type="default"/>
      <w:pgSz w:w="11906" w:h="16838"/>
      <w:pgMar w:top="1270" w:right="1800" w:bottom="127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52949158"/>
    </w:sdtPr>
    <w:sdtContent>
      <w:sdt>
        <w:sdtPr>
          <w:id w:val="171357217"/>
        </w:sdtPr>
        <w:sdtContent>
          <w:p>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7</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left="1680" w:right="1680"/>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0EEDCF"/>
    <w:multiLevelType w:val="singleLevel"/>
    <w:tmpl w:val="2C0EEDCF"/>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hMTkzMmI0MTk5ZTljYTlkNmRlYjUyNjk5OGQwODUifQ=="/>
  </w:docVars>
  <w:rsids>
    <w:rsidRoot w:val="001D046B"/>
    <w:rsid w:val="00025129"/>
    <w:rsid w:val="00026695"/>
    <w:rsid w:val="00031B69"/>
    <w:rsid w:val="00033CCB"/>
    <w:rsid w:val="00036541"/>
    <w:rsid w:val="00057AE5"/>
    <w:rsid w:val="00091F38"/>
    <w:rsid w:val="0009432B"/>
    <w:rsid w:val="00096F9E"/>
    <w:rsid w:val="000C0507"/>
    <w:rsid w:val="000E18DA"/>
    <w:rsid w:val="000F3A16"/>
    <w:rsid w:val="00105ECC"/>
    <w:rsid w:val="00113724"/>
    <w:rsid w:val="0012561F"/>
    <w:rsid w:val="001310C8"/>
    <w:rsid w:val="00147513"/>
    <w:rsid w:val="00170EF5"/>
    <w:rsid w:val="00176407"/>
    <w:rsid w:val="00176788"/>
    <w:rsid w:val="001848F2"/>
    <w:rsid w:val="00190DF0"/>
    <w:rsid w:val="00197CE5"/>
    <w:rsid w:val="001A1207"/>
    <w:rsid w:val="001B18BE"/>
    <w:rsid w:val="001C0060"/>
    <w:rsid w:val="001D046B"/>
    <w:rsid w:val="00207735"/>
    <w:rsid w:val="002537BC"/>
    <w:rsid w:val="002578BF"/>
    <w:rsid w:val="00267D9C"/>
    <w:rsid w:val="002771EA"/>
    <w:rsid w:val="00295934"/>
    <w:rsid w:val="002A63AF"/>
    <w:rsid w:val="002A6549"/>
    <w:rsid w:val="002C1068"/>
    <w:rsid w:val="002F3833"/>
    <w:rsid w:val="002F5D5B"/>
    <w:rsid w:val="00317FF7"/>
    <w:rsid w:val="00330442"/>
    <w:rsid w:val="00340C43"/>
    <w:rsid w:val="00366577"/>
    <w:rsid w:val="00366AE8"/>
    <w:rsid w:val="003A5EB5"/>
    <w:rsid w:val="003B6C4E"/>
    <w:rsid w:val="003E23D3"/>
    <w:rsid w:val="003F0654"/>
    <w:rsid w:val="003F2E3F"/>
    <w:rsid w:val="003F39E9"/>
    <w:rsid w:val="003F48ED"/>
    <w:rsid w:val="00404903"/>
    <w:rsid w:val="00420892"/>
    <w:rsid w:val="004237CF"/>
    <w:rsid w:val="004264B5"/>
    <w:rsid w:val="00444854"/>
    <w:rsid w:val="00454B77"/>
    <w:rsid w:val="00470FAF"/>
    <w:rsid w:val="004739D3"/>
    <w:rsid w:val="004B0C92"/>
    <w:rsid w:val="004E7F00"/>
    <w:rsid w:val="004F65BC"/>
    <w:rsid w:val="00510CB1"/>
    <w:rsid w:val="00511738"/>
    <w:rsid w:val="00513C37"/>
    <w:rsid w:val="00517B60"/>
    <w:rsid w:val="0054332A"/>
    <w:rsid w:val="0054657C"/>
    <w:rsid w:val="00572839"/>
    <w:rsid w:val="00572DDF"/>
    <w:rsid w:val="005759F9"/>
    <w:rsid w:val="0057697B"/>
    <w:rsid w:val="00577574"/>
    <w:rsid w:val="005B1BFC"/>
    <w:rsid w:val="005E5380"/>
    <w:rsid w:val="00606647"/>
    <w:rsid w:val="00615A7B"/>
    <w:rsid w:val="0062230B"/>
    <w:rsid w:val="00633389"/>
    <w:rsid w:val="0063634E"/>
    <w:rsid w:val="006936BB"/>
    <w:rsid w:val="006C7EF2"/>
    <w:rsid w:val="006D7C30"/>
    <w:rsid w:val="006F43F0"/>
    <w:rsid w:val="00740CEC"/>
    <w:rsid w:val="00776287"/>
    <w:rsid w:val="00785B32"/>
    <w:rsid w:val="0079401F"/>
    <w:rsid w:val="007B27C5"/>
    <w:rsid w:val="007C7935"/>
    <w:rsid w:val="007D36CE"/>
    <w:rsid w:val="007F72E0"/>
    <w:rsid w:val="008001A0"/>
    <w:rsid w:val="00803ACA"/>
    <w:rsid w:val="008127B9"/>
    <w:rsid w:val="0083422F"/>
    <w:rsid w:val="00836A60"/>
    <w:rsid w:val="00854B46"/>
    <w:rsid w:val="00872831"/>
    <w:rsid w:val="0087380B"/>
    <w:rsid w:val="00891010"/>
    <w:rsid w:val="008916DF"/>
    <w:rsid w:val="008A5257"/>
    <w:rsid w:val="008A6EE2"/>
    <w:rsid w:val="008C06EC"/>
    <w:rsid w:val="008F1D66"/>
    <w:rsid w:val="008F5925"/>
    <w:rsid w:val="00903E19"/>
    <w:rsid w:val="00917618"/>
    <w:rsid w:val="0092286A"/>
    <w:rsid w:val="00931475"/>
    <w:rsid w:val="00932160"/>
    <w:rsid w:val="00970070"/>
    <w:rsid w:val="00974FEE"/>
    <w:rsid w:val="00991D64"/>
    <w:rsid w:val="009A019F"/>
    <w:rsid w:val="009A142A"/>
    <w:rsid w:val="009F1D46"/>
    <w:rsid w:val="00A058CF"/>
    <w:rsid w:val="00A17F74"/>
    <w:rsid w:val="00A335F8"/>
    <w:rsid w:val="00A34819"/>
    <w:rsid w:val="00A37D4E"/>
    <w:rsid w:val="00A42C70"/>
    <w:rsid w:val="00A4459C"/>
    <w:rsid w:val="00A51400"/>
    <w:rsid w:val="00A538A3"/>
    <w:rsid w:val="00A63B68"/>
    <w:rsid w:val="00A6416F"/>
    <w:rsid w:val="00A745B8"/>
    <w:rsid w:val="00A80BB5"/>
    <w:rsid w:val="00AC4F2F"/>
    <w:rsid w:val="00B144B8"/>
    <w:rsid w:val="00B32835"/>
    <w:rsid w:val="00B34C17"/>
    <w:rsid w:val="00B508F7"/>
    <w:rsid w:val="00B55967"/>
    <w:rsid w:val="00B619F0"/>
    <w:rsid w:val="00B86DDD"/>
    <w:rsid w:val="00BB2CF9"/>
    <w:rsid w:val="00BB64EB"/>
    <w:rsid w:val="00BF2BB1"/>
    <w:rsid w:val="00C16DD8"/>
    <w:rsid w:val="00C170AA"/>
    <w:rsid w:val="00C324A5"/>
    <w:rsid w:val="00C42A5B"/>
    <w:rsid w:val="00C630C3"/>
    <w:rsid w:val="00C70DED"/>
    <w:rsid w:val="00C74FDA"/>
    <w:rsid w:val="00C7544F"/>
    <w:rsid w:val="00C776EE"/>
    <w:rsid w:val="00C80E63"/>
    <w:rsid w:val="00C87399"/>
    <w:rsid w:val="00CB0A4D"/>
    <w:rsid w:val="00CB5944"/>
    <w:rsid w:val="00CB7D25"/>
    <w:rsid w:val="00CC0542"/>
    <w:rsid w:val="00CF6271"/>
    <w:rsid w:val="00D02470"/>
    <w:rsid w:val="00D27CC1"/>
    <w:rsid w:val="00D44696"/>
    <w:rsid w:val="00D614B4"/>
    <w:rsid w:val="00D70DEC"/>
    <w:rsid w:val="00D902DD"/>
    <w:rsid w:val="00D91D23"/>
    <w:rsid w:val="00DB119E"/>
    <w:rsid w:val="00DB2B21"/>
    <w:rsid w:val="00DC02B4"/>
    <w:rsid w:val="00DC1863"/>
    <w:rsid w:val="00DD7B19"/>
    <w:rsid w:val="00DF758E"/>
    <w:rsid w:val="00E02F4C"/>
    <w:rsid w:val="00E209B6"/>
    <w:rsid w:val="00E24DA6"/>
    <w:rsid w:val="00E431EE"/>
    <w:rsid w:val="00E670C2"/>
    <w:rsid w:val="00E72332"/>
    <w:rsid w:val="00E85C02"/>
    <w:rsid w:val="00E8764A"/>
    <w:rsid w:val="00EA2E8B"/>
    <w:rsid w:val="00EA387F"/>
    <w:rsid w:val="00EE77FE"/>
    <w:rsid w:val="00F25F23"/>
    <w:rsid w:val="00F32E4E"/>
    <w:rsid w:val="00F3400C"/>
    <w:rsid w:val="00F4206E"/>
    <w:rsid w:val="00F46544"/>
    <w:rsid w:val="00F646F0"/>
    <w:rsid w:val="00F86476"/>
    <w:rsid w:val="00F954C4"/>
    <w:rsid w:val="015734B6"/>
    <w:rsid w:val="066F2B2B"/>
    <w:rsid w:val="0AB36C26"/>
    <w:rsid w:val="0AFB017D"/>
    <w:rsid w:val="0B720498"/>
    <w:rsid w:val="0F5F3714"/>
    <w:rsid w:val="10062D1D"/>
    <w:rsid w:val="10973B61"/>
    <w:rsid w:val="120D121A"/>
    <w:rsid w:val="1A9F36C5"/>
    <w:rsid w:val="2E3C068D"/>
    <w:rsid w:val="35622C6E"/>
    <w:rsid w:val="39B71E0A"/>
    <w:rsid w:val="3AB53CBE"/>
    <w:rsid w:val="3F5A234F"/>
    <w:rsid w:val="3F7E7C4C"/>
    <w:rsid w:val="40097DB1"/>
    <w:rsid w:val="41465DEB"/>
    <w:rsid w:val="41EE124C"/>
    <w:rsid w:val="42DD49D1"/>
    <w:rsid w:val="433C558B"/>
    <w:rsid w:val="461C409C"/>
    <w:rsid w:val="47D6594C"/>
    <w:rsid w:val="4E700EE7"/>
    <w:rsid w:val="56583408"/>
    <w:rsid w:val="58544828"/>
    <w:rsid w:val="59F54339"/>
    <w:rsid w:val="5C9F6B61"/>
    <w:rsid w:val="5D7B00D1"/>
    <w:rsid w:val="5E4845A1"/>
    <w:rsid w:val="5F9F3A16"/>
    <w:rsid w:val="61412207"/>
    <w:rsid w:val="61632399"/>
    <w:rsid w:val="696B13C3"/>
    <w:rsid w:val="6A046E9D"/>
    <w:rsid w:val="6D4F2489"/>
    <w:rsid w:val="6EA32620"/>
    <w:rsid w:val="6F6B5B62"/>
    <w:rsid w:val="6FD65FFB"/>
    <w:rsid w:val="75760F36"/>
    <w:rsid w:val="77E39BC7"/>
    <w:rsid w:val="77F8D910"/>
    <w:rsid w:val="77FEC45F"/>
    <w:rsid w:val="7E942417"/>
    <w:rsid w:val="7F6D3258"/>
    <w:rsid w:val="7F979BCF"/>
    <w:rsid w:val="7FF725CE"/>
    <w:rsid w:val="DDDFC65F"/>
    <w:rsid w:val="EECF246F"/>
    <w:rsid w:val="F7EC1E20"/>
    <w:rsid w:val="FFB73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nhideWhenUsed="0" w:uiPriority="0"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spacing w:after="120"/>
      <w:ind w:left="1440" w:leftChars="700" w:right="1440" w:rightChars="7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page number"/>
    <w:basedOn w:val="7"/>
    <w:qFormat/>
    <w:uiPriority w:val="0"/>
    <w:rPr>
      <w:rFonts w:cs="Times New Roman"/>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paragraph" w:styleId="11">
    <w:name w:val="List Paragraph"/>
    <w:basedOn w:val="1"/>
    <w:qFormat/>
    <w:uiPriority w:val="34"/>
    <w:pPr>
      <w:ind w:firstLine="420" w:firstLineChars="200"/>
    </w:pPr>
  </w:style>
  <w:style w:type="paragraph" w:customStyle="1" w:styleId="12">
    <w:name w:val="列出段落111"/>
    <w:basedOn w:val="1"/>
    <w:qFormat/>
    <w:uiPriority w:val="0"/>
    <w:pPr>
      <w:ind w:firstLine="420" w:firstLineChars="200"/>
    </w:pPr>
    <w:rPr>
      <w:rFonts w:cs="Calibri"/>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1151</Words>
  <Characters>1396</Characters>
  <Lines>38</Lines>
  <Paragraphs>10</Paragraphs>
  <TotalTime>8</TotalTime>
  <ScaleCrop>false</ScaleCrop>
  <LinksUpToDate>false</LinksUpToDate>
  <CharactersWithSpaces>1433</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2021-11-02T19:16:00Z</dcterms:created>
  <dc:creator>陈洁</dc:creator>
  <cp:lastModifiedBy>uos</cp:lastModifiedBy>
  <cp:lastPrinted>2024-03-20T16:28:00Z</cp:lastPrinted>
  <dcterms:modified xsi:type="dcterms:W3CDTF">2026-03-12T15:11:56Z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1405B1F97F3145669DE481EA06E81250_13</vt:lpwstr>
  </property>
  <property fmtid="{D5CDD505-2E9C-101B-9397-08002B2CF9AE}" pid="4" name="KSOTemplateDocerSaveRecord">
    <vt:lpwstr>eyJoZGlkIjoiYjUzN2E3ZDk0ZWU3NmM2MmYzZWE3OGFjOTI0NWMwNjQifQ==</vt:lpwstr>
  </property>
</Properties>
</file>