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asciiTheme="minorHAnsi" w:hAnsiTheme="minorHAnsi"/>
          <w:color w:val="000000"/>
          <w:sz w:val="32"/>
          <w:szCs w:val="32"/>
          <w:lang w:eastAsia="zh-CN"/>
        </w:rPr>
      </w:pPr>
      <w:r>
        <w:rPr>
          <w:rFonts w:hint="eastAsia" w:eastAsia="方正小标宋简体" w:cs="Times New Roman" w:asciiTheme="minorHAnsi" w:hAnsiTheme="minorHAnsi"/>
          <w:color w:val="000000"/>
          <w:sz w:val="32"/>
          <w:szCs w:val="32"/>
        </w:rPr>
        <w:t>廊坊市</w:t>
      </w:r>
      <w:r>
        <w:rPr>
          <w:rFonts w:hint="eastAsia" w:eastAsia="方正小标宋简体" w:cs="Times New Roman"/>
          <w:color w:val="000000"/>
          <w:sz w:val="32"/>
          <w:szCs w:val="32"/>
          <w:lang w:val="en-US" w:eastAsia="zh-CN"/>
        </w:rPr>
        <w:t>油漆涂料</w:t>
      </w:r>
      <w:r>
        <w:rPr>
          <w:rFonts w:hint="eastAsia" w:eastAsia="方正小标宋简体" w:cs="Times New Roman" w:asciiTheme="minorHAnsi" w:hAnsiTheme="minorHAnsi"/>
          <w:color w:val="000000"/>
          <w:sz w:val="32"/>
          <w:szCs w:val="32"/>
          <w:lang w:val="en-US" w:eastAsia="zh-CN"/>
        </w:rPr>
        <w:t>产品</w:t>
      </w:r>
      <w:r>
        <w:rPr>
          <w:rFonts w:hint="eastAsia" w:eastAsia="方正小标宋简体" w:cs="Times New Roman" w:asciiTheme="minorHAnsi" w:hAnsiTheme="minorHAnsi"/>
          <w:color w:val="000000"/>
          <w:sz w:val="32"/>
          <w:szCs w:val="32"/>
        </w:rPr>
        <w:t>质量监督抽查</w:t>
      </w:r>
      <w:r>
        <w:rPr>
          <w:rFonts w:hint="eastAsia" w:eastAsia="方正小标宋简体" w:cs="Times New Roman" w:asciiTheme="minorHAnsi" w:hAnsiTheme="minorHAnsi"/>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asciiTheme="minorHAnsi" w:hAnsiTheme="minorHAnsi"/>
          <w:color w:val="000000"/>
          <w:sz w:val="32"/>
          <w:szCs w:val="32"/>
        </w:rPr>
      </w:pPr>
      <w:r>
        <w:rPr>
          <w:rFonts w:eastAsia="方正小标宋简体" w:asciiTheme="minorHAnsi" w:hAnsiTheme="minorHAnsi"/>
          <w:color w:val="000000"/>
          <w:sz w:val="32"/>
          <w:szCs w:val="32"/>
        </w:rPr>
        <w:t>（202</w:t>
      </w:r>
      <w:r>
        <w:rPr>
          <w:rFonts w:hint="eastAsia" w:eastAsia="方正小标宋简体" w:asciiTheme="minorHAnsi" w:hAnsiTheme="minorHAnsi"/>
          <w:color w:val="000000"/>
          <w:sz w:val="32"/>
          <w:szCs w:val="32"/>
          <w:lang w:val="en-US" w:eastAsia="zh-CN"/>
        </w:rPr>
        <w:t>4</w:t>
      </w:r>
      <w:r>
        <w:rPr>
          <w:rFonts w:eastAsia="方正小标宋简体" w:asciiTheme="minorHAnsi" w:hAnsiTheme="minorHAnsi"/>
          <w:color w:val="000000"/>
          <w:sz w:val="32"/>
          <w:szCs w:val="32"/>
        </w:rPr>
        <w:t>年版）</w:t>
      </w:r>
    </w:p>
    <w:p>
      <w:pPr>
        <w:keepNext w:val="0"/>
        <w:keepLines w:val="0"/>
        <w:pageBreakBefore w:val="0"/>
        <w:widowControl w:val="0"/>
        <w:kinsoku/>
        <w:wordWrap/>
        <w:overflowPunct/>
        <w:topLinePunct w:val="0"/>
        <w:autoSpaceDE/>
        <w:autoSpaceDN/>
        <w:bidi w:val="0"/>
        <w:spacing w:line="400" w:lineRule="exact"/>
        <w:textAlignment w:val="auto"/>
        <w:rPr>
          <w:rFonts w:hint="eastAsia"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b w:val="0"/>
          <w:bCs w:val="0"/>
          <w:sz w:val="24"/>
          <w:szCs w:val="24"/>
          <w:lang w:val="en-US" w:eastAsia="zh-CN"/>
        </w:rPr>
      </w:pPr>
      <w:r>
        <w:rPr>
          <w:rFonts w:hint="eastAsia" w:eastAsia="黑体" w:cs="Times New Roman"/>
          <w:b w:val="0"/>
          <w:bCs w:val="0"/>
          <w:sz w:val="21"/>
          <w:szCs w:val="21"/>
          <w:lang w:val="en-US" w:eastAsia="zh-CN"/>
        </w:rPr>
        <w:t>1</w:t>
      </w:r>
      <w:r>
        <w:rPr>
          <w:rFonts w:hint="default" w:ascii="Times New Roman" w:hAnsi="Times New Roman" w:eastAsia="黑体" w:cs="Times New Roman"/>
          <w:b w:val="0"/>
          <w:bCs w:val="0"/>
          <w:sz w:val="21"/>
          <w:szCs w:val="21"/>
          <w:lang w:val="en-US" w:eastAsia="zh-CN"/>
        </w:rPr>
        <w:t>抽样方法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18"/>
          <w:lang w:eastAsia="zh-CN"/>
        </w:rPr>
      </w:pPr>
      <w:r>
        <w:rPr>
          <w:rFonts w:hint="default" w:ascii="Times New Roman" w:hAnsi="Times New Roman" w:cs="Times New Roman" w:eastAsiaTheme="minorEastAsia"/>
          <w:color w:val="auto"/>
          <w:sz w:val="21"/>
          <w:szCs w:val="21"/>
        </w:rPr>
        <w:t>以随机抽样的方式抽取样品</w:t>
      </w:r>
      <w:r>
        <w:rPr>
          <w:rFonts w:hint="default" w:ascii="Times New Roman" w:hAnsi="Times New Roman" w:cs="Times New Roman"/>
          <w:color w:val="auto"/>
          <w:sz w:val="21"/>
          <w:szCs w:val="21"/>
          <w:lang w:eastAsia="zh-CN"/>
        </w:rPr>
        <w:t>，随机数一般可使用投骰子或随机数表等方法产生。</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sz w:val="21"/>
          <w:szCs w:val="18"/>
          <w:lang w:eastAsia="zh-CN"/>
        </w:rPr>
        <w:t>油漆涂料类产品：</w:t>
      </w:r>
      <w:r>
        <w:rPr>
          <w:rFonts w:hint="eastAsia" w:asciiTheme="minorEastAsia" w:hAnsiTheme="minorEastAsia" w:eastAsiaTheme="minorEastAsia" w:cstheme="minorEastAsia"/>
          <w:color w:val="auto"/>
          <w:sz w:val="21"/>
          <w:szCs w:val="18"/>
        </w:rPr>
        <w:t>抽取2份样品，</w:t>
      </w:r>
      <w:r>
        <w:rPr>
          <w:rFonts w:hint="eastAsia" w:asciiTheme="minorEastAsia" w:hAnsiTheme="minorEastAsia" w:eastAsiaTheme="minorEastAsia" w:cstheme="minorEastAsia"/>
          <w:color w:val="auto"/>
          <w:sz w:val="21"/>
          <w:szCs w:val="21"/>
        </w:rPr>
        <w:t>每份不少于3kg，</w:t>
      </w:r>
      <w:r>
        <w:rPr>
          <w:rFonts w:hint="eastAsia" w:asciiTheme="minorEastAsia" w:hAnsiTheme="minorEastAsia" w:cstheme="minorEastAsia"/>
          <w:color w:val="auto"/>
          <w:sz w:val="21"/>
          <w:szCs w:val="21"/>
          <w:lang w:eastAsia="zh-CN"/>
        </w:rPr>
        <w:t>其中</w:t>
      </w:r>
      <w:r>
        <w:rPr>
          <w:rFonts w:hint="eastAsia" w:asciiTheme="minorEastAsia" w:hAnsiTheme="minorEastAsia" w:eastAsiaTheme="minorEastAsia" w:cstheme="minorEastAsia"/>
          <w:color w:val="auto"/>
          <w:sz w:val="21"/>
          <w:szCs w:val="18"/>
        </w:rPr>
        <w:t>一份为检验样品，一份为备</w:t>
      </w:r>
      <w:r>
        <w:rPr>
          <w:rFonts w:hint="eastAsia" w:asciiTheme="minorEastAsia" w:hAnsiTheme="minorEastAsia" w:cstheme="minorEastAsia"/>
          <w:color w:val="auto"/>
          <w:sz w:val="21"/>
          <w:szCs w:val="18"/>
          <w:lang w:eastAsia="zh-CN"/>
        </w:rPr>
        <w:t>用</w:t>
      </w:r>
      <w:r>
        <w:rPr>
          <w:rFonts w:hint="eastAsia" w:asciiTheme="minorEastAsia" w:hAnsiTheme="minorEastAsia" w:eastAsiaTheme="minorEastAsia" w:cstheme="minorEastAsia"/>
          <w:color w:val="auto"/>
          <w:sz w:val="21"/>
          <w:szCs w:val="18"/>
        </w:rPr>
        <w:t>样品。</w:t>
      </w:r>
      <w:r>
        <w:rPr>
          <w:rFonts w:hint="eastAsia" w:asciiTheme="minorEastAsia" w:hAnsiTheme="minorEastAsia" w:eastAsiaTheme="minorEastAsia" w:cstheme="minorEastAsia"/>
          <w:color w:val="auto"/>
          <w:sz w:val="21"/>
          <w:szCs w:val="21"/>
        </w:rPr>
        <w:t>当独立包装产品不大于5L或7.5kg时，应整包装抽取</w:t>
      </w:r>
      <w:r>
        <w:rPr>
          <w:rFonts w:hint="eastAsia" w:asciiTheme="minorEastAsia" w:hAnsiTheme="minorEastAsia" w:eastAsiaTheme="minorEastAsia" w:cstheme="minorEastAsia"/>
          <w:color w:val="auto"/>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cs="Times New Roman"/>
          <w:color w:val="auto"/>
          <w:sz w:val="21"/>
          <w:szCs w:val="21"/>
          <w:lang w:eastAsia="zh-CN"/>
        </w:rPr>
        <w:t>粉末涂料类产品：</w:t>
      </w:r>
      <w:r>
        <w:rPr>
          <w:rFonts w:hint="eastAsia" w:asciiTheme="minorEastAsia" w:hAnsiTheme="minorEastAsia" w:eastAsiaTheme="minorEastAsia" w:cstheme="minorEastAsia"/>
          <w:color w:val="auto"/>
          <w:sz w:val="21"/>
          <w:szCs w:val="18"/>
        </w:rPr>
        <w:t>抽取2份样品，</w:t>
      </w:r>
      <w:r>
        <w:rPr>
          <w:rFonts w:hint="eastAsia" w:asciiTheme="minorEastAsia" w:hAnsiTheme="minorEastAsia" w:eastAsiaTheme="minorEastAsia" w:cstheme="minorEastAsia"/>
          <w:color w:val="auto"/>
          <w:sz w:val="21"/>
          <w:szCs w:val="21"/>
        </w:rPr>
        <w:t>每份不少于</w:t>
      </w:r>
      <w:r>
        <w:rPr>
          <w:rFonts w:hint="eastAsia" w:asciiTheme="minorEastAsia" w:hAnsi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kg</w:t>
      </w:r>
      <w:r>
        <w:rPr>
          <w:rFonts w:hint="eastAsia" w:asciiTheme="minorEastAsia" w:hAnsiTheme="minorEastAsia" w:cstheme="minorEastAsia"/>
          <w:color w:val="auto"/>
          <w:sz w:val="21"/>
          <w:szCs w:val="21"/>
          <w:lang w:eastAsia="zh-CN"/>
        </w:rPr>
        <w:t>，各含</w:t>
      </w:r>
      <w:r>
        <w:rPr>
          <w:rFonts w:hint="eastAsia" w:asciiTheme="minorEastAsia" w:hAnsiTheme="minorEastAsia" w:cstheme="minorEastAsia"/>
          <w:color w:val="auto"/>
          <w:sz w:val="21"/>
          <w:szCs w:val="21"/>
          <w:lang w:val="en-US" w:eastAsia="zh-CN"/>
        </w:rPr>
        <w:t>8块样板</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eastAsia="zh-CN"/>
        </w:rPr>
        <w:t>其中</w:t>
      </w:r>
      <w:r>
        <w:rPr>
          <w:rFonts w:hint="eastAsia" w:asciiTheme="minorEastAsia" w:hAnsiTheme="minorEastAsia" w:eastAsiaTheme="minorEastAsia" w:cstheme="minorEastAsia"/>
          <w:color w:val="auto"/>
          <w:sz w:val="21"/>
          <w:szCs w:val="18"/>
        </w:rPr>
        <w:t>一份为检验样品，一份为备</w:t>
      </w:r>
      <w:r>
        <w:rPr>
          <w:rFonts w:hint="eastAsia" w:asciiTheme="minorEastAsia" w:hAnsiTheme="minorEastAsia" w:cstheme="minorEastAsia"/>
          <w:color w:val="auto"/>
          <w:sz w:val="21"/>
          <w:szCs w:val="18"/>
          <w:lang w:eastAsia="zh-CN"/>
        </w:rPr>
        <w:t>用</w:t>
      </w:r>
      <w:r>
        <w:rPr>
          <w:rFonts w:hint="eastAsia" w:asciiTheme="minorEastAsia" w:hAnsiTheme="minorEastAsia" w:eastAsiaTheme="minorEastAsia" w:cstheme="minorEastAsia"/>
          <w:color w:val="auto"/>
          <w:sz w:val="21"/>
          <w:szCs w:val="18"/>
        </w:rPr>
        <w:t>样品。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黑体" w:cs="Times New Roman"/>
          <w:b w:val="0"/>
          <w:bCs w:val="0"/>
          <w:sz w:val="21"/>
          <w:szCs w:val="21"/>
          <w:lang w:val="en-US" w:eastAsia="zh-CN"/>
        </w:rPr>
      </w:pPr>
    </w:p>
    <w:p>
      <w:pPr>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val="en-US" w:eastAsia="zh-CN"/>
        </w:rPr>
        <w:t>2</w:t>
      </w:r>
      <w:r>
        <w:rPr>
          <w:rFonts w:hint="default" w:ascii="Times New Roman" w:hAnsi="Times New Roman" w:eastAsia="黑体" w:cs="Times New Roman"/>
          <w:b w:val="0"/>
          <w:bCs w:val="0"/>
          <w:sz w:val="21"/>
          <w:szCs w:val="21"/>
        </w:rPr>
        <w:t>检验</w:t>
      </w:r>
      <w:r>
        <w:rPr>
          <w:rFonts w:hint="default" w:ascii="Times New Roman" w:hAnsi="Times New Roman" w:eastAsia="黑体" w:cs="Times New Roman"/>
          <w:b w:val="0"/>
          <w:bCs w:val="0"/>
          <w:sz w:val="21"/>
          <w:szCs w:val="21"/>
          <w:lang w:eastAsia="zh-CN"/>
        </w:rPr>
        <w:t>依据</w:t>
      </w:r>
    </w:p>
    <w:tbl>
      <w:tblPr>
        <w:tblStyle w:val="3"/>
        <w:tblW w:w="859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3055"/>
        <w:gridCol w:w="2508"/>
        <w:gridCol w:w="5"/>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noWrap w:val="0"/>
            <w:vAlign w:val="center"/>
          </w:tcPr>
          <w:p>
            <w:pPr>
              <w:spacing w:beforeAutospacing="0" w:afterAutospacing="0" w:line="220" w:lineRule="exact"/>
              <w:ind w:right="48" w:rightChars="2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序号</w:t>
            </w:r>
          </w:p>
        </w:tc>
        <w:tc>
          <w:tcPr>
            <w:tcW w:w="3055" w:type="dxa"/>
            <w:noWrap w:val="0"/>
            <w:vAlign w:val="center"/>
          </w:tcPr>
          <w:p>
            <w:pPr>
              <w:spacing w:beforeAutospacing="0" w:afterAutospacing="0" w:line="220" w:lineRule="exact"/>
              <w:ind w:right="48" w:rightChars="2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产品名称</w:t>
            </w:r>
          </w:p>
        </w:tc>
        <w:tc>
          <w:tcPr>
            <w:tcW w:w="2508" w:type="dxa"/>
            <w:noWrap w:val="0"/>
            <w:vAlign w:val="center"/>
          </w:tcPr>
          <w:p>
            <w:pPr>
              <w:spacing w:beforeAutospacing="0" w:afterAutospacing="0" w:line="220" w:lineRule="exact"/>
              <w:ind w:right="48" w:rightChars="2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检验项目</w:t>
            </w:r>
          </w:p>
        </w:tc>
        <w:tc>
          <w:tcPr>
            <w:tcW w:w="2332" w:type="dxa"/>
            <w:gridSpan w:val="2"/>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水溶性内墙涂料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耐洗刷性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w:t>
            </w:r>
            <w:r>
              <w:rPr>
                <w:rFonts w:hint="eastAsia" w:ascii="Times New Roman" w:hAnsi="Times New Roman" w:cs="Times New Roman"/>
                <w:bCs/>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eastAsiaTheme="minorEastAsia"/>
                <w:bCs/>
                <w:sz w:val="21"/>
                <w:szCs w:val="21"/>
              </w:rPr>
              <w:t>JC/T 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细度</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涂膜外观</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附着力</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耐水性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耐干擦性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耐洗刷性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合成树脂乳液内墙涂料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cs="Times New Roman" w:eastAsiaTheme="minorEastAsia"/>
                <w:bCs/>
                <w:sz w:val="21"/>
                <w:szCs w:val="21"/>
                <w:lang w:val="en-US" w:eastAsia="zh-CN"/>
              </w:rPr>
            </w:pPr>
            <w:r>
              <w:rPr>
                <w:rFonts w:hint="default" w:ascii="Times New Roman" w:hAnsi="Times New Roman" w:cs="Times New Roman" w:eastAsiaTheme="minorEastAsia"/>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耐碱性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耐洗刷</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低温稳定性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涂膜外观</w:t>
            </w:r>
          </w:p>
        </w:tc>
        <w:tc>
          <w:tcPr>
            <w:tcW w:w="2332" w:type="dxa"/>
            <w:gridSpan w:val="2"/>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eastAsiaTheme="minorEastAsia"/>
                <w:bCs/>
                <w:sz w:val="21"/>
                <w:szCs w:val="21"/>
              </w:rPr>
              <w:t>GB/T 975</w:t>
            </w:r>
            <w:r>
              <w:rPr>
                <w:rFonts w:hint="eastAsia" w:ascii="Times New Roman" w:hAnsi="Times New Roman" w:cs="Times New Roman" w:eastAsiaTheme="minorEastAsia"/>
                <w:bCs/>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容器中状态</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施工性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对比率</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3</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合成树脂乳液外墙涂料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耐水性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耐碱性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低温稳定性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涂膜外观</w:t>
            </w:r>
          </w:p>
        </w:tc>
        <w:tc>
          <w:tcPr>
            <w:tcW w:w="2332" w:type="dxa"/>
            <w:gridSpan w:val="2"/>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容器中状态</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施工性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对比率</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GB/T23981.1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590" w:type="dxa"/>
            <w:gridSpan w:val="5"/>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695" w:type="dxa"/>
            <w:tcBorders>
              <w:righ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序号</w:t>
            </w:r>
          </w:p>
        </w:tc>
        <w:tc>
          <w:tcPr>
            <w:tcW w:w="3055" w:type="dxa"/>
            <w:tcBorders>
              <w:left w:val="single" w:color="auto" w:sz="4" w:space="0"/>
              <w:righ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产品名称</w:t>
            </w:r>
          </w:p>
        </w:tc>
        <w:tc>
          <w:tcPr>
            <w:tcW w:w="2508" w:type="dxa"/>
            <w:tcBorders>
              <w:left w:val="single" w:color="auto" w:sz="4" w:space="0"/>
              <w:righ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检验项目</w:t>
            </w:r>
          </w:p>
        </w:tc>
        <w:tc>
          <w:tcPr>
            <w:tcW w:w="2332" w:type="dxa"/>
            <w:gridSpan w:val="2"/>
            <w:tcBorders>
              <w:lef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外墙无机建筑涂料</w:t>
            </w:r>
          </w:p>
        </w:tc>
        <w:tc>
          <w:tcPr>
            <w:tcW w:w="2508" w:type="dxa"/>
            <w:tcBorders>
              <w:right w:val="single" w:color="auto" w:sz="4" w:space="0"/>
            </w:tcBorders>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干燥时间</w:t>
            </w:r>
          </w:p>
        </w:tc>
        <w:tc>
          <w:tcPr>
            <w:tcW w:w="2332" w:type="dxa"/>
            <w:gridSpan w:val="2"/>
            <w:tcBorders>
              <w:left w:val="single" w:color="auto" w:sz="4" w:space="0"/>
            </w:tcBorders>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耐水性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耐碱性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容器中状态</w:t>
            </w:r>
          </w:p>
        </w:tc>
        <w:tc>
          <w:tcPr>
            <w:tcW w:w="2332" w:type="dxa"/>
            <w:gridSpan w:val="2"/>
            <w:vMerge w:val="restart"/>
            <w:noWrap w:val="0"/>
            <w:vAlign w:val="center"/>
          </w:tcPr>
          <w:p>
            <w:pPr>
              <w:shd w:val="clear" w:color="auto" w:fill="FFFFFF"/>
              <w:spacing w:beforeAutospacing="0" w:afterAutospacing="0" w:line="220" w:lineRule="exact"/>
              <w:ind w:firstLine="630" w:firstLineChars="30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JG/T 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涂膜外观</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对比率</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溶剂型外墙涂料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耐水性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耐碱性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施工性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涂膜外观</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对比率</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w:t>
            </w:r>
          </w:p>
        </w:tc>
        <w:tc>
          <w:tcPr>
            <w:tcW w:w="3055" w:type="dxa"/>
            <w:vMerge w:val="restart"/>
            <w:noWrap w:val="0"/>
            <w:vAlign w:val="center"/>
          </w:tcPr>
          <w:p>
            <w:pPr>
              <w:shd w:val="clear" w:color="auto" w:fill="FFFFFF"/>
              <w:spacing w:beforeAutospacing="0" w:afterAutospacing="0" w:line="220" w:lineRule="exact"/>
              <w:ind w:firstLine="205" w:firstLineChars="9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环氧沥青防腐涂料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不挥发物含量</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205" w:firstLineChars="98"/>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在容器中状态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 xml:space="preserve"> </w:t>
            </w:r>
            <w:r>
              <w:rPr>
                <w:rFonts w:hint="default" w:ascii="Times New Roman" w:hAnsi="Times New Roman" w:cs="Times New Roman" w:eastAsiaTheme="minorEastAsia"/>
                <w:bCs/>
                <w:sz w:val="21"/>
                <w:szCs w:val="21"/>
              </w:rPr>
              <w:t>GB/T 27806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施工性适用期</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7</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溶剂型聚氨酯涂料（双组分）</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不挥发物含量</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val="en-US"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耐冲击性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耐水性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pacing w:beforeAutospacing="0" w:afterAutospacing="0" w:line="220" w:lineRule="exact"/>
              <w:ind w:right="48" w:rightChars="2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铅笔硬度</w:t>
            </w:r>
          </w:p>
        </w:tc>
        <w:tc>
          <w:tcPr>
            <w:tcW w:w="2332" w:type="dxa"/>
            <w:gridSpan w:val="2"/>
            <w:noWrap w:val="0"/>
            <w:vAlign w:val="center"/>
          </w:tcPr>
          <w:p>
            <w:pPr>
              <w:spacing w:beforeAutospacing="0" w:afterAutospacing="0" w:line="220" w:lineRule="exact"/>
              <w:ind w:right="48" w:rightChars="2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6739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弯曲试验</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6742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耐碱性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耐酸性</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9274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在容器中状态</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eastAsiaTheme="minorEastAsia"/>
                <w:bCs/>
                <w:sz w:val="21"/>
                <w:szCs w:val="21"/>
              </w:rPr>
              <w:t>HG/T 2454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8</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紫外光（UV）固化木器涂料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细度</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GB/T 1724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hint="default" w:ascii="Times New Roman" w:hAnsi="Times New Roman" w:cs="Times New Roman" w:eastAsiaTheme="minorEastAsia"/>
                <w:bCs/>
                <w:sz w:val="21"/>
                <w:szCs w:val="21"/>
              </w:rPr>
              <w:t>HG/T 3655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eastAsia="zh-CN"/>
              </w:rPr>
              <w:t>热</w:t>
            </w:r>
            <w:r>
              <w:rPr>
                <w:rFonts w:hint="default" w:ascii="Times New Roman" w:hAnsi="Times New Roman" w:eastAsia="宋体" w:cs="Times New Roman"/>
                <w:bCs/>
                <w:sz w:val="21"/>
                <w:szCs w:val="21"/>
              </w:rPr>
              <w:t>贮存稳定性</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涂膜外观</w:t>
            </w:r>
          </w:p>
        </w:tc>
        <w:tc>
          <w:tcPr>
            <w:tcW w:w="2332" w:type="dxa"/>
            <w:gridSpan w:val="2"/>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hint="eastAsia" w:ascii="Times New Roman" w:hAnsi="Times New Roman" w:eastAsia="宋体"/>
                <w:bCs/>
                <w:sz w:val="21"/>
                <w:szCs w:val="21"/>
                <w:lang w:val="en-US" w:eastAsia="zh-CN"/>
              </w:rPr>
              <w:t>9</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ascii="Times New Roman" w:hAnsi="Times New Roman" w:eastAsia="宋体"/>
                <w:bCs/>
                <w:sz w:val="21"/>
                <w:szCs w:val="21"/>
              </w:rPr>
              <w:t>室内装饰装修用溶剂型聚氨酯木器漆涂料</w:t>
            </w: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default"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r>
              <w:rPr>
                <w:rFonts w:ascii="Times New Roman" w:hAnsi="Times New Roman" w:eastAsia="宋体"/>
                <w:bCs/>
                <w:sz w:val="21"/>
                <w:szCs w:val="21"/>
              </w:rPr>
              <w:t>在容器中状态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ascii="Times New Roman" w:hAnsi="Times New Roman" w:eastAsia="宋体"/>
                <w:bCs/>
                <w:sz w:val="21"/>
                <w:szCs w:val="21"/>
              </w:rPr>
            </w:pPr>
            <w:r>
              <w:rPr>
                <w:rFonts w:hint="eastAsia" w:ascii="Times New Roman" w:hAnsi="Times New Roman" w:eastAsia="宋体"/>
                <w:bCs/>
                <w:sz w:val="21"/>
                <w:szCs w:val="21"/>
                <w:lang w:val="en-US" w:eastAsia="zh-CN"/>
              </w:rPr>
              <w:t xml:space="preserve"> </w:t>
            </w:r>
            <w:r>
              <w:rPr>
                <w:rFonts w:ascii="Times New Roman" w:hAnsi="Times New Roman" w:eastAsia="宋体"/>
                <w:bCs/>
                <w:sz w:val="21"/>
                <w:szCs w:val="21"/>
              </w:rPr>
              <w:t>GB/T 23997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eastAsia="zh-CN"/>
              </w:rPr>
              <w:t>热</w:t>
            </w:r>
            <w:r>
              <w:rPr>
                <w:rFonts w:hint="default" w:ascii="Times New Roman" w:hAnsi="Times New Roman" w:eastAsia="宋体" w:cs="Times New Roman"/>
                <w:bCs/>
                <w:sz w:val="21"/>
                <w:szCs w:val="21"/>
              </w:rPr>
              <w:t>贮存稳定性</w:t>
            </w:r>
          </w:p>
        </w:tc>
        <w:tc>
          <w:tcPr>
            <w:tcW w:w="2332" w:type="dxa"/>
            <w:gridSpan w:val="2"/>
            <w:vMerge w:val="continue"/>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ind w:firstLine="420" w:firstLineChars="200"/>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ind w:firstLine="420" w:firstLineChars="200"/>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涂膜外观</w:t>
            </w:r>
          </w:p>
        </w:tc>
        <w:tc>
          <w:tcPr>
            <w:tcW w:w="2332" w:type="dxa"/>
            <w:gridSpan w:val="2"/>
            <w:vMerge w:val="continue"/>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bCs/>
                <w:sz w:val="21"/>
                <w:szCs w:val="21"/>
                <w:lang w:val="en-US" w:eastAsia="zh-CN"/>
              </w:rPr>
              <w:t>10</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ascii="Times New Roman" w:hAnsi="Times New Roman" w:eastAsia="宋体"/>
                <w:bCs/>
                <w:sz w:val="21"/>
                <w:szCs w:val="21"/>
              </w:rPr>
              <w:t>富锌底漆</w:t>
            </w: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不挥发物含量</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lang w:val="en-US"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tcBorders>
              <w:left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tcBorders>
              <w:left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在容器中状态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HG/T 3668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tcBorders>
              <w:left w:val="single" w:color="auto" w:sz="4" w:space="0"/>
              <w:bottom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bCs/>
                <w:sz w:val="21"/>
                <w:szCs w:val="21"/>
              </w:rPr>
            </w:pPr>
            <w:r>
              <w:rPr>
                <w:rFonts w:ascii="Times New Roman" w:hAnsi="Times New Roman" w:eastAsia="宋体"/>
                <w:bCs/>
                <w:sz w:val="21"/>
                <w:szCs w:val="21"/>
              </w:rPr>
              <w:t>施工性能</w:t>
            </w:r>
          </w:p>
        </w:tc>
        <w:tc>
          <w:tcPr>
            <w:tcW w:w="2332" w:type="dxa"/>
            <w:gridSpan w:val="2"/>
            <w:vMerge w:val="continue"/>
            <w:noWrap w:val="0"/>
            <w:vAlign w:val="center"/>
          </w:tcPr>
          <w:p>
            <w:pPr>
              <w:shd w:val="clear" w:color="auto" w:fill="FFFFFF"/>
              <w:spacing w:beforeAutospacing="0" w:afterAutospacing="0" w:line="220" w:lineRule="exact"/>
              <w:jc w:val="center"/>
              <w:rPr>
                <w:rFonts w:ascii="Times New Roman" w:hAnsi="Times New Roman" w:eastAsia="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tcBorders>
              <w:top w:val="single" w:color="auto" w:sz="4" w:space="0"/>
              <w:left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bCs/>
                <w:sz w:val="21"/>
                <w:szCs w:val="21"/>
              </w:rPr>
            </w:pPr>
            <w:r>
              <w:rPr>
                <w:rFonts w:ascii="Times New Roman" w:hAnsi="Times New Roman" w:eastAsia="宋体"/>
                <w:bCs/>
                <w:sz w:val="21"/>
                <w:szCs w:val="21"/>
              </w:rPr>
              <w:t>涂膜外观</w:t>
            </w:r>
          </w:p>
        </w:tc>
        <w:tc>
          <w:tcPr>
            <w:tcW w:w="2332" w:type="dxa"/>
            <w:gridSpan w:val="2"/>
            <w:vMerge w:val="continue"/>
            <w:noWrap w:val="0"/>
            <w:vAlign w:val="center"/>
          </w:tcPr>
          <w:p>
            <w:pPr>
              <w:shd w:val="clear" w:color="auto" w:fill="FFFFFF"/>
              <w:spacing w:beforeAutospacing="0" w:afterAutospacing="0" w:line="220" w:lineRule="exact"/>
              <w:jc w:val="center"/>
              <w:rPr>
                <w:rFonts w:ascii="Times New Roman" w:hAnsi="Times New Roman" w:eastAsia="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590" w:type="dxa"/>
            <w:gridSpan w:val="5"/>
            <w:tcBorders>
              <w:bottom w:val="single" w:color="auto" w:sz="4" w:space="0"/>
            </w:tcBorders>
            <w:noWrap w:val="0"/>
            <w:vAlign w:val="center"/>
          </w:tcPr>
          <w:p>
            <w:pPr>
              <w:shd w:val="clear" w:color="auto" w:fill="FFFFFF"/>
              <w:spacing w:beforeAutospacing="0" w:afterAutospacing="0" w:line="220" w:lineRule="exact"/>
              <w:jc w:val="center"/>
              <w:rPr>
                <w:rFonts w:hint="eastAsia" w:ascii="Times New Roman" w:hAnsi="Times New Roman" w:eastAsia="宋体"/>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695" w:type="dxa"/>
            <w:tcBorders>
              <w:top w:val="single" w:color="auto" w:sz="4" w:space="0"/>
              <w:bottom w:val="single" w:color="auto" w:sz="4" w:space="0"/>
              <w:righ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序号</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产品名称</w:t>
            </w:r>
          </w:p>
        </w:tc>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检验项目</w:t>
            </w:r>
          </w:p>
        </w:tc>
        <w:tc>
          <w:tcPr>
            <w:tcW w:w="2327" w:type="dxa"/>
            <w:tcBorders>
              <w:top w:val="single" w:color="auto" w:sz="4" w:space="0"/>
              <w:left w:val="single" w:color="auto" w:sz="4" w:space="0"/>
              <w:bottom w:val="single" w:color="auto" w:sz="4" w:space="0"/>
            </w:tcBorders>
            <w:noWrap w:val="0"/>
            <w:vAlign w:val="center"/>
          </w:tcPr>
          <w:p>
            <w:pPr>
              <w:spacing w:beforeAutospacing="0" w:afterAutospacing="0" w:line="220" w:lineRule="exact"/>
              <w:ind w:right="48" w:rightChars="20"/>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tcBorders>
              <w:top w:val="single" w:color="auto" w:sz="4" w:space="0"/>
              <w:bottom w:val="single" w:color="auto" w:sz="4" w:space="0"/>
              <w:right w:val="single" w:color="auto" w:sz="4" w:space="0"/>
            </w:tcBorders>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ascii="Times New Roman" w:hAnsi="Times New Roman" w:eastAsia="宋体"/>
                <w:bCs/>
                <w:sz w:val="21"/>
                <w:szCs w:val="21"/>
              </w:rPr>
              <w:t>1</w:t>
            </w:r>
            <w:r>
              <w:rPr>
                <w:rFonts w:hint="eastAsia" w:ascii="Times New Roman" w:hAnsi="Times New Roman" w:eastAsia="宋体"/>
                <w:bCs/>
                <w:sz w:val="21"/>
                <w:szCs w:val="21"/>
                <w:lang w:val="en-US" w:eastAsia="zh-CN"/>
              </w:rPr>
              <w:t>1</w:t>
            </w:r>
          </w:p>
        </w:tc>
        <w:tc>
          <w:tcPr>
            <w:tcW w:w="3055" w:type="dxa"/>
            <w:vMerge w:val="restart"/>
            <w:tcBorders>
              <w:top w:val="single" w:color="auto" w:sz="4" w:space="0"/>
              <w:left w:val="single" w:color="auto" w:sz="4" w:space="0"/>
              <w:righ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ascii="Times New Roman" w:hAnsi="Times New Roman" w:eastAsia="宋体"/>
                <w:bCs/>
                <w:sz w:val="21"/>
                <w:szCs w:val="21"/>
              </w:rPr>
              <w:t>热固性粉末涂料</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耐冲击性</w:t>
            </w:r>
          </w:p>
        </w:tc>
        <w:tc>
          <w:tcPr>
            <w:tcW w:w="2332" w:type="dxa"/>
            <w:gridSpan w:val="2"/>
            <w:tcBorders>
              <w:top w:val="single" w:color="auto" w:sz="4" w:space="0"/>
              <w:left w:val="single" w:color="auto" w:sz="4" w:space="0"/>
              <w:bottom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tcBorders>
              <w:top w:val="single" w:color="auto" w:sz="4" w:space="0"/>
            </w:tcBorders>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tcBorders>
              <w:top w:val="single" w:color="auto" w:sz="4" w:space="0"/>
            </w:tcBorders>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bCs/>
                <w:sz w:val="21"/>
                <w:szCs w:val="21"/>
                <w:lang w:eastAsia="zh-CN"/>
              </w:rPr>
              <w:t>铅笔</w:t>
            </w:r>
            <w:r>
              <w:rPr>
                <w:rFonts w:ascii="Times New Roman" w:hAnsi="Times New Roman" w:eastAsia="宋体"/>
                <w:bCs/>
                <w:sz w:val="21"/>
                <w:szCs w:val="21"/>
              </w:rPr>
              <w:t>硬度</w:t>
            </w:r>
          </w:p>
        </w:tc>
        <w:tc>
          <w:tcPr>
            <w:tcW w:w="2332" w:type="dxa"/>
            <w:gridSpan w:val="2"/>
            <w:tcBorders>
              <w:top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6739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耐碱性</w:t>
            </w:r>
          </w:p>
        </w:tc>
        <w:tc>
          <w:tcPr>
            <w:tcW w:w="2332" w:type="dxa"/>
            <w:gridSpan w:val="2"/>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9274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耐酸性</w:t>
            </w:r>
          </w:p>
        </w:tc>
        <w:tc>
          <w:tcPr>
            <w:tcW w:w="2332" w:type="dxa"/>
            <w:gridSpan w:val="2"/>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附着力</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9286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光泽</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default" w:ascii="Times New Roman" w:hAnsi="Times New Roman" w:eastAsia="宋体"/>
                <w:bCs/>
                <w:sz w:val="21"/>
                <w:szCs w:val="21"/>
              </w:rPr>
              <w:t>GB/T 9754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bCs/>
                <w:sz w:val="21"/>
                <w:szCs w:val="21"/>
              </w:rPr>
            </w:pPr>
            <w:r>
              <w:rPr>
                <w:rFonts w:ascii="Times New Roman" w:hAnsi="Times New Roman" w:eastAsia="宋体"/>
                <w:bCs/>
                <w:sz w:val="21"/>
                <w:szCs w:val="21"/>
              </w:rPr>
              <w:t>涂膜外观</w:t>
            </w:r>
          </w:p>
        </w:tc>
        <w:tc>
          <w:tcPr>
            <w:tcW w:w="2332" w:type="dxa"/>
            <w:gridSpan w:val="2"/>
            <w:vMerge w:val="restart"/>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HG/T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筛余物</w:t>
            </w:r>
          </w:p>
        </w:tc>
        <w:tc>
          <w:tcPr>
            <w:tcW w:w="2332" w:type="dxa"/>
            <w:gridSpan w:val="2"/>
            <w:vMerge w:val="continue"/>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tcBorders>
              <w:left w:val="single" w:color="auto" w:sz="4" w:space="0"/>
            </w:tcBorders>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bCs/>
                <w:sz w:val="21"/>
                <w:szCs w:val="21"/>
                <w:lang w:eastAsia="zh-CN"/>
              </w:rPr>
              <w:t>外观</w:t>
            </w:r>
          </w:p>
        </w:tc>
        <w:tc>
          <w:tcPr>
            <w:tcW w:w="2332" w:type="dxa"/>
            <w:gridSpan w:val="2"/>
            <w:vMerge w:val="continue"/>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ascii="Times New Roman" w:hAnsi="Times New Roman" w:eastAsia="宋体"/>
                <w:bCs/>
                <w:sz w:val="21"/>
                <w:szCs w:val="21"/>
              </w:rPr>
              <w:t>1</w:t>
            </w:r>
            <w:r>
              <w:rPr>
                <w:rFonts w:hint="eastAsia" w:ascii="Times New Roman" w:hAnsi="Times New Roman" w:eastAsia="宋体"/>
                <w:bCs/>
                <w:sz w:val="21"/>
                <w:szCs w:val="21"/>
                <w:lang w:val="en-US" w:eastAsia="zh-CN"/>
              </w:rPr>
              <w:t>2</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ascii="Times New Roman" w:hAnsi="Times New Roman" w:eastAsia="宋体"/>
                <w:bCs/>
                <w:sz w:val="21"/>
                <w:szCs w:val="21"/>
              </w:rPr>
              <w:t>自行车用底漆</w:t>
            </w:r>
          </w:p>
        </w:tc>
        <w:tc>
          <w:tcPr>
            <w:tcW w:w="2508" w:type="dxa"/>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细度</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漆膜颜色和外观</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HG/T 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ascii="Times New Roman" w:hAnsi="Times New Roman" w:eastAsia="宋体"/>
                <w:bCs/>
                <w:sz w:val="21"/>
                <w:szCs w:val="21"/>
              </w:rPr>
              <w:t>1</w:t>
            </w:r>
            <w:r>
              <w:rPr>
                <w:rFonts w:hint="eastAsia" w:ascii="Times New Roman" w:hAnsi="Times New Roman" w:eastAsia="宋体"/>
                <w:bCs/>
                <w:sz w:val="21"/>
                <w:szCs w:val="21"/>
                <w:lang w:val="en-US" w:eastAsia="zh-CN"/>
              </w:rPr>
              <w:t>3</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ascii="Times New Roman" w:hAnsi="Times New Roman" w:eastAsia="宋体"/>
                <w:sz w:val="21"/>
                <w:szCs w:val="21"/>
              </w:rPr>
              <w:t>氨基醇酸树脂涂料</w:t>
            </w: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耐冲击性</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pacing w:beforeAutospacing="0" w:afterAutospacing="0" w:line="220" w:lineRule="exact"/>
              <w:ind w:right="48" w:rightChars="20"/>
              <w:jc w:val="center"/>
              <w:rPr>
                <w:rFonts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弯曲试验</w:t>
            </w:r>
          </w:p>
        </w:tc>
        <w:tc>
          <w:tcPr>
            <w:tcW w:w="2332" w:type="dxa"/>
            <w:gridSpan w:val="2"/>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6742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pacing w:beforeAutospacing="0" w:afterAutospacing="0" w:line="220" w:lineRule="exact"/>
              <w:ind w:right="48" w:rightChars="20"/>
              <w:jc w:val="center"/>
              <w:rPr>
                <w:rFonts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铅笔硬度</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6739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pacing w:beforeAutospacing="0" w:afterAutospacing="0" w:line="220" w:lineRule="exact"/>
              <w:ind w:right="48" w:rightChars="20"/>
              <w:jc w:val="center"/>
              <w:rPr>
                <w:rFonts w:ascii="Times New Roman" w:hAnsi="Times New Roman" w:eastAsia="宋体" w:cs="Times New Roman"/>
                <w:bCs/>
                <w:kern w:val="2"/>
                <w:sz w:val="21"/>
                <w:szCs w:val="21"/>
                <w:lang w:val="en-US" w:eastAsia="zh-CN" w:bidi="ar-SA"/>
              </w:rPr>
            </w:pPr>
            <w:r>
              <w:rPr>
                <w:rFonts w:hint="eastAsia" w:ascii="Times New Roman" w:hAnsi="Times New Roman" w:eastAsia="宋体"/>
                <w:bCs/>
                <w:sz w:val="21"/>
                <w:szCs w:val="21"/>
              </w:rPr>
              <w:t>附着力</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9286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在容器中状态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GB/T 25249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imes New Roman"/>
                <w:bCs/>
                <w:kern w:val="2"/>
                <w:sz w:val="21"/>
                <w:szCs w:val="21"/>
                <w:lang w:val="en-US" w:eastAsia="zh-CN" w:bidi="ar-SA"/>
              </w:rPr>
            </w:pPr>
            <w:r>
              <w:rPr>
                <w:rFonts w:hint="eastAsia" w:ascii="Times New Roman" w:hAnsi="Times New Roman"/>
                <w:bCs/>
                <w:sz w:val="21"/>
                <w:szCs w:val="21"/>
                <w:lang w:eastAsia="zh-CN"/>
              </w:rPr>
              <w:t>热</w:t>
            </w:r>
            <w:r>
              <w:rPr>
                <w:rFonts w:ascii="Times New Roman" w:hAnsi="Times New Roman" w:eastAsia="宋体"/>
                <w:bCs/>
                <w:sz w:val="21"/>
                <w:szCs w:val="21"/>
              </w:rPr>
              <w:t>贮存稳定性</w:t>
            </w:r>
          </w:p>
        </w:tc>
        <w:tc>
          <w:tcPr>
            <w:tcW w:w="2332" w:type="dxa"/>
            <w:gridSpan w:val="2"/>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imes New Roman"/>
                <w:bCs/>
                <w:kern w:val="2"/>
                <w:sz w:val="21"/>
                <w:szCs w:val="21"/>
                <w:lang w:val="en-US" w:eastAsia="zh-CN" w:bidi="ar-SA"/>
              </w:rPr>
            </w:pPr>
            <w:r>
              <w:rPr>
                <w:rFonts w:ascii="Times New Roman" w:hAnsi="Times New Roman" w:eastAsia="宋体"/>
                <w:bCs/>
                <w:sz w:val="21"/>
                <w:szCs w:val="21"/>
              </w:rPr>
              <w:t>漆膜外观</w:t>
            </w:r>
          </w:p>
        </w:tc>
        <w:tc>
          <w:tcPr>
            <w:tcW w:w="2332" w:type="dxa"/>
            <w:gridSpan w:val="2"/>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r>
              <w:rPr>
                <w:rFonts w:ascii="Times New Roman" w:hAnsi="Times New Roman" w:eastAsia="宋体"/>
                <w:bCs/>
                <w:sz w:val="21"/>
                <w:szCs w:val="21"/>
              </w:rPr>
              <w:t>1</w:t>
            </w:r>
            <w:r>
              <w:rPr>
                <w:rFonts w:hint="eastAsia" w:ascii="Times New Roman" w:hAnsi="Times New Roman" w:eastAsia="宋体"/>
                <w:bCs/>
                <w:sz w:val="21"/>
                <w:szCs w:val="21"/>
                <w:lang w:val="en-US" w:eastAsia="zh-CN"/>
              </w:rPr>
              <w:t>4</w:t>
            </w:r>
          </w:p>
        </w:tc>
        <w:tc>
          <w:tcPr>
            <w:tcW w:w="3055" w:type="dxa"/>
            <w:vMerge w:val="restart"/>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r>
              <w:rPr>
                <w:rFonts w:ascii="Times New Roman" w:hAnsi="Times New Roman" w:eastAsia="宋体"/>
                <w:sz w:val="21"/>
                <w:szCs w:val="21"/>
              </w:rPr>
              <w:t>醇酸树脂涂料</w:t>
            </w: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干燥时间</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1728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imes New Roman"/>
                <w:bCs/>
                <w:sz w:val="21"/>
                <w:szCs w:val="21"/>
                <w:lang w:eastAsia="zh-CN"/>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弯曲试验</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6742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耐水性</w:t>
            </w:r>
          </w:p>
        </w:tc>
        <w:tc>
          <w:tcPr>
            <w:tcW w:w="2332" w:type="dxa"/>
            <w:gridSpan w:val="2"/>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bCs/>
                <w:sz w:val="21"/>
                <w:szCs w:val="21"/>
              </w:rPr>
              <w:t>GB/T 9274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在容器中状态</w:t>
            </w:r>
          </w:p>
        </w:tc>
        <w:tc>
          <w:tcPr>
            <w:tcW w:w="2332" w:type="dxa"/>
            <w:gridSpan w:val="2"/>
            <w:vMerge w:val="restart"/>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GB/T 25251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施工性</w:t>
            </w:r>
          </w:p>
        </w:tc>
        <w:tc>
          <w:tcPr>
            <w:tcW w:w="2332" w:type="dxa"/>
            <w:gridSpan w:val="2"/>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695" w:type="dxa"/>
            <w:vMerge w:val="continue"/>
            <w:noWrap w:val="0"/>
            <w:vAlign w:val="center"/>
          </w:tcPr>
          <w:p>
            <w:pPr>
              <w:shd w:val="clear" w:color="auto" w:fill="FFFFFF"/>
              <w:spacing w:beforeAutospacing="0" w:afterAutospacing="0" w:line="220" w:lineRule="exact"/>
              <w:jc w:val="center"/>
              <w:rPr>
                <w:rFonts w:hint="default" w:ascii="Times New Roman" w:hAnsi="Times New Roman" w:eastAsia="宋体" w:cs="Times New Roman"/>
                <w:bCs/>
                <w:sz w:val="21"/>
                <w:szCs w:val="21"/>
              </w:rPr>
            </w:pPr>
          </w:p>
        </w:tc>
        <w:tc>
          <w:tcPr>
            <w:tcW w:w="3055" w:type="dxa"/>
            <w:vMerge w:val="continue"/>
            <w:noWrap w:val="0"/>
            <w:vAlign w:val="center"/>
          </w:tcPr>
          <w:p>
            <w:pPr>
              <w:shd w:val="clear" w:color="auto" w:fill="FFFFFF"/>
              <w:spacing w:beforeAutospacing="0" w:afterAutospacing="0" w:line="220" w:lineRule="exact"/>
              <w:jc w:val="both"/>
              <w:rPr>
                <w:rFonts w:hint="default" w:ascii="Times New Roman" w:hAnsi="Times New Roman" w:eastAsia="宋体" w:cs="Times New Roman"/>
                <w:bCs/>
                <w:sz w:val="21"/>
                <w:szCs w:val="21"/>
              </w:rPr>
            </w:pPr>
          </w:p>
        </w:tc>
        <w:tc>
          <w:tcPr>
            <w:tcW w:w="2508" w:type="dxa"/>
            <w:tcBorders>
              <w:left w:val="single" w:color="auto" w:sz="4" w:space="0"/>
              <w:bottom w:val="single" w:color="auto" w:sz="4" w:space="0"/>
            </w:tcBorders>
            <w:noWrap w:val="0"/>
            <w:vAlign w:val="center"/>
          </w:tcPr>
          <w:p>
            <w:pPr>
              <w:shd w:val="clear" w:color="auto" w:fill="FFFFFF"/>
              <w:spacing w:beforeAutospacing="0" w:afterAutospacing="0" w:line="220" w:lineRule="exact"/>
              <w:jc w:val="center"/>
              <w:rPr>
                <w:rFonts w:ascii="Times New Roman" w:hAnsi="Times New Roman" w:eastAsia="宋体" w:cstheme="minorBidi"/>
                <w:bCs/>
                <w:kern w:val="2"/>
                <w:sz w:val="21"/>
                <w:szCs w:val="21"/>
                <w:lang w:val="en-US" w:eastAsia="zh-CN" w:bidi="ar-SA"/>
              </w:rPr>
            </w:pPr>
            <w:r>
              <w:rPr>
                <w:rFonts w:ascii="Times New Roman" w:hAnsi="Times New Roman" w:eastAsia="宋体"/>
                <w:bCs/>
                <w:sz w:val="21"/>
                <w:szCs w:val="21"/>
              </w:rPr>
              <w:t>漆膜外观</w:t>
            </w:r>
          </w:p>
        </w:tc>
        <w:tc>
          <w:tcPr>
            <w:tcW w:w="2332" w:type="dxa"/>
            <w:gridSpan w:val="2"/>
            <w:vMerge w:val="continue"/>
            <w:noWrap w:val="0"/>
            <w:vAlign w:val="center"/>
          </w:tcPr>
          <w:p>
            <w:pPr>
              <w:shd w:val="clear" w:color="auto" w:fill="FFFFFF"/>
              <w:spacing w:beforeAutospacing="0" w:afterAutospacing="0" w:line="220" w:lineRule="exact"/>
              <w:jc w:val="center"/>
              <w:rPr>
                <w:rFonts w:hint="eastAsia" w:ascii="Times New Roman" w:hAnsi="Times New Roman" w:eastAsia="宋体" w:cstheme="minorBidi"/>
                <w:bCs/>
                <w:kern w:val="2"/>
                <w:sz w:val="21"/>
                <w:szCs w:val="21"/>
                <w:lang w:val="en-US" w:eastAsia="zh-CN" w:bidi="ar-SA"/>
              </w:rPr>
            </w:pPr>
          </w:p>
        </w:tc>
      </w:tr>
    </w:tbl>
    <w:p>
      <w:pPr>
        <w:rPr>
          <w:rFonts w:hint="default" w:ascii="Times New Roman" w:hAnsi="Times New Roman" w:eastAsia="宋体" w:cs="Times New Roman"/>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执行企业标准、团体标准、地方标准的产品，检验项目参照上述内容执行。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lang w:eastAsia="zh-CN"/>
        </w:rPr>
      </w:pPr>
      <w:r>
        <w:rPr>
          <w:rFonts w:hint="eastAsia" w:ascii="Times New Roman" w:hAnsi="Times New Roman" w:eastAsia="黑体" w:cs="Times New Roman"/>
          <w:b w:val="0"/>
          <w:bCs w:val="0"/>
          <w:sz w:val="21"/>
          <w:szCs w:val="21"/>
          <w:lang w:val="en-US" w:eastAsia="zh-CN"/>
        </w:rPr>
        <w:t>3</w:t>
      </w:r>
      <w:r>
        <w:rPr>
          <w:rFonts w:hint="default" w:ascii="Times New Roman" w:hAnsi="Times New Roman" w:eastAsia="黑体" w:cs="Times New Roman"/>
          <w:b w:val="0"/>
          <w:bCs w:val="0"/>
          <w:sz w:val="21"/>
          <w:szCs w:val="21"/>
          <w:lang w:eastAsia="zh-CN"/>
        </w:rPr>
        <w:t>判定规则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3.1</w:t>
      </w:r>
      <w:r>
        <w:rPr>
          <w:rFonts w:hint="default" w:ascii="Times New Roman" w:hAnsi="Times New Roman" w:cs="Times New Roman" w:eastAsiaTheme="minorEastAsia"/>
          <w:sz w:val="21"/>
          <w:szCs w:val="21"/>
          <w:lang w:eastAsia="zh-CN"/>
        </w:rPr>
        <w:t>依据标准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3186-2006《色漆、清漆和色漆与清漆用原材料 取样》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9756-2018《合成树脂乳液内墙涂料》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9755-2014 《合成树脂乳液外墙涂料》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9757-2001 《溶剂型外墙涂料》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23997-2009 《室内装饰装修用溶剂型聚氨酯木器涂料》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25249-2010《氨基醇酸树脂涂料》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25251-2010《醇酸树脂涂料》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GB/T 27806-2011《 环氧沥青防腐涂料》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HG/T 2006-2022《热固性和热塑性粉末涂料》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HG/T 2454-2014 溶剂型聚氨酯涂料（双组分）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HG/T 3655-2012 《紫外光(UV)固化木器涂料》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HG/T 3668-2020 《富锌底漆》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HG/T 3832-2006 《自行车用面漆》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HG/T 3833-2006 《自行车用底漆》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JG/T 26-2002 《外墙无机建筑涂料》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JC/T 423-1991《水溶性内墙涂料》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sz w:val="21"/>
          <w:szCs w:val="21"/>
        </w:rPr>
        <w:t>现行有效的企业标准</w:t>
      </w:r>
      <w:r>
        <w:rPr>
          <w:rFonts w:hint="default" w:ascii="Times New Roman" w:hAnsi="Times New Roman" w:cs="Times New Roman" w:eastAsiaTheme="minorEastAsia"/>
          <w:color w:val="000000"/>
          <w:sz w:val="21"/>
          <w:szCs w:val="21"/>
          <w:lang w:eastAsia="zh-CN"/>
        </w:rPr>
        <w:t>或</w:t>
      </w:r>
      <w:r>
        <w:rPr>
          <w:rFonts w:hint="default" w:ascii="Times New Roman" w:hAnsi="Times New Roman" w:cs="Times New Roman" w:eastAsiaTheme="minorEastAsia"/>
          <w:sz w:val="21"/>
          <w:szCs w:val="21"/>
        </w:rPr>
        <w:t>产品明示质量要求</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3.2</w:t>
      </w:r>
      <w:r>
        <w:rPr>
          <w:rFonts w:hint="default" w:ascii="Times New Roman" w:hAnsi="Times New Roman" w:cs="Times New Roman" w:eastAsiaTheme="minorEastAsia"/>
          <w:color w:val="000000"/>
          <w:sz w:val="21"/>
          <w:szCs w:val="21"/>
        </w:rPr>
        <w:t>判定</w:t>
      </w:r>
      <w:r>
        <w:rPr>
          <w:rFonts w:hint="default" w:ascii="Times New Roman" w:hAnsi="Times New Roman" w:cs="Times New Roman" w:eastAsiaTheme="minorEastAsia"/>
          <w:color w:val="000000"/>
          <w:sz w:val="21"/>
          <w:szCs w:val="21"/>
          <w:lang w:eastAsia="zh-CN"/>
        </w:rPr>
        <w:t>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经检验，检验项目全部合格，判定被抽查产品所检项目未发现不合格；检验项目中任一项或一项以上不合格， 判定被抽查产品不合格。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w:t>
      </w:r>
      <w:bookmarkStart w:id="0" w:name="_GoBack"/>
      <w:bookmarkEnd w:id="0"/>
      <w:r>
        <w:rPr>
          <w:rFonts w:hint="default" w:ascii="Times New Roman" w:hAnsi="Times New Roman" w:cs="Times New Roman" w:eastAsiaTheme="minorEastAsia"/>
          <w:color w:val="000000"/>
          <w:sz w:val="21"/>
          <w:szCs w:val="21"/>
          <w:lang w:val="en-US" w:eastAsia="zh-CN"/>
        </w:rPr>
        <w:t>被检产品明示的质量要求缺少本细则中检验项目依据的推荐性标准要求时，该项目不参与判定。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sz w:val="21"/>
          <w:szCs w:val="21"/>
          <w:lang w:val="en-US" w:eastAsia="zh-CN"/>
        </w:rPr>
      </w:pPr>
      <w:r>
        <w:rPr>
          <w:rFonts w:hint="eastAsia" w:ascii="黑体" w:hAnsi="黑体" w:eastAsia="黑体" w:cs="黑体"/>
          <w:b w:val="0"/>
          <w:bCs w:val="0"/>
          <w:color w:val="000000"/>
          <w:sz w:val="21"/>
          <w:szCs w:val="21"/>
          <w:lang w:val="en-US" w:eastAsia="zh-CN"/>
        </w:rPr>
        <w:t>4 异议处理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4.1对监督抽查程序有异议的，由市市场监督管理局核查相关证据后维持或者撤销原检验结果。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4.2对检验结果有异议的，市市场监督管理局核查相关证据，能够证明原检验结果准确的，维持原检验结果；不能证明原检验结果准确需要进行复检的，由其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4.3对样品信息有异议的，市市场监督管理局核查样品确认情况和被抽样单位提交证明材料后，维持或者撤销原检验结果。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p>
    <w:sectPr>
      <w:footerReference r:id="rId5" w:type="first"/>
      <w:headerReference r:id="rId3" w:type="default"/>
      <w:footerReference r:id="rId4" w:type="default"/>
      <w:pgSz w:w="11906" w:h="16838"/>
      <w:pgMar w:top="1247" w:right="1361" w:bottom="1304" w:left="1474" w:header="851" w:footer="794" w:gutter="0"/>
      <w:pgNumType w:start="1"/>
      <w:cols w:space="720" w:num="1"/>
      <w:docGrid w:type="lines" w:linePitch="4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ind w:right="360"/>
      <w:jc w:val="center"/>
      <w:rPr>
        <w:rFonts w:hint="eastAsia"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5</w:t>
    </w:r>
    <w:r>
      <w:rPr>
        <w:rFonts w:hint="eastAsia" w:ascii="宋体" w:hAnsi="宋体"/>
        <w:sz w:val="21"/>
        <w:szCs w:val="21"/>
      </w:rPr>
      <w:fldChar w:fldCharType="end"/>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307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ascii="宋体" w:hAnsi="宋体"/>
                              <w:sz w:val="28"/>
                              <w:szCs w:val="28"/>
                            </w:rPr>
                          </w:pPr>
                        </w:p>
                        <w:p/>
                      </w:txbxContent>
                    </wps:txbx>
                    <wps:bodyPr rot="0" vert="horz" wrap="square" lIns="0" tIns="0" rIns="0" bIns="0" anchor="t" anchorCtr="0"/>
                  </wps:wsp>
                </a:graphicData>
              </a:graphic>
            </wp:anchor>
          </w:drawing>
        </mc:Choice>
        <mc:Fallback>
          <w:pict>
            <v:rect id="_x0000_s3079"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ZrZjy0wAAAAUBAAAPAAAAAAAAAAEAIAAAADgAAABkcnMvZG93bnJldi54&#10;bWxQSwECFAAUAAAACACHTuJA2ndku7ABAAB2AwAADgAAAAAAAAABACAAAAA4AQAAZHJzL2Uyb0Rv&#10;Yy54bWxQSwUGAAAAAAYABgBZAQAAWgUAAAAA&#10;">
              <v:fill on="f" focussize="0,0"/>
              <v:stroke on="f"/>
              <v:imagedata o:title=""/>
              <o:lock v:ext="edit" aspectratio="f"/>
              <v:textbox inset="0mm,0mm,0mm,0mm">
                <w:txbxContent>
                  <w:p>
                    <w:pPr>
                      <w:pStyle w:val="21"/>
                      <w:tabs>
                        <w:tab w:val="clear" w:pos="4153"/>
                        <w:tab w:val="clear" w:pos="8306"/>
                      </w:tabs>
                      <w:rPr>
                        <w:rFonts w:hint="eastAsia" w:ascii="宋体" w:hAnsi="宋体"/>
                        <w:sz w:val="28"/>
                        <w:szCs w:val="28"/>
                      </w:rPr>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308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p/>
                      </w:txbxContent>
                    </wps:txbx>
                    <wps:bodyPr rot="0" vert="horz" wrap="square" lIns="0" tIns="0" rIns="0" bIns="0" anchor="t" anchorCtr="0"/>
                  </wps:wsp>
                </a:graphicData>
              </a:graphic>
            </wp:anchor>
          </w:drawing>
        </mc:Choice>
        <mc:Fallback>
          <w:pict>
            <v:rect id="_x0000_s3080"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Wa2Y8tMAAAAFAQAADwAAAAAAAAABACAAAAA4AAAAZHJzL2Rvd25yZXYueG1s&#10;UEsBAhQAFAAAAAgAh07iQPeRpWyuAQAAdgMAAA4AAAAAAAAAAQAgAAAAOAEAAGRycy9lMm9Eb2Mu&#10;eG1sUEsFBgAAAAAGAAYAWQEAAFgFAAAAAA==&#10;">
              <v:fill on="f" focussize="0,0"/>
              <v:stroke on="f"/>
              <v:imagedata o:title=""/>
              <o:lock v:ext="edit" aspectratio="f"/>
              <v:textbox inset="0mm,0mm,0mm,0mm">
                <w:txbxContent>
                  <w:p>
                    <w:pPr>
                      <w:pStyle w:val="21"/>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680" w:right="168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Q0NWFlMTI1YTEzMjc0ZmY3ODgyNWIzODM1YWYifQ=="/>
  </w:docVars>
  <w:rsids>
    <w:rsidRoot w:val="00000000"/>
    <w:rsid w:val="019A0080"/>
    <w:rsid w:val="02D313B6"/>
    <w:rsid w:val="04336327"/>
    <w:rsid w:val="053578FC"/>
    <w:rsid w:val="0676726E"/>
    <w:rsid w:val="07481B68"/>
    <w:rsid w:val="07F6072D"/>
    <w:rsid w:val="08DF474E"/>
    <w:rsid w:val="09F82BD8"/>
    <w:rsid w:val="0A0D4EA4"/>
    <w:rsid w:val="0A9E3AD9"/>
    <w:rsid w:val="0AC3662F"/>
    <w:rsid w:val="0C4A6383"/>
    <w:rsid w:val="0C517711"/>
    <w:rsid w:val="0C5505BD"/>
    <w:rsid w:val="0C994C14"/>
    <w:rsid w:val="0D506B23"/>
    <w:rsid w:val="0DAB10A3"/>
    <w:rsid w:val="0E3915BC"/>
    <w:rsid w:val="1134315E"/>
    <w:rsid w:val="12E36BE9"/>
    <w:rsid w:val="15CE592F"/>
    <w:rsid w:val="177F691D"/>
    <w:rsid w:val="188B6CB0"/>
    <w:rsid w:val="1890336F"/>
    <w:rsid w:val="18FA6A3B"/>
    <w:rsid w:val="1A83295C"/>
    <w:rsid w:val="1B7E7DF7"/>
    <w:rsid w:val="1C4471E9"/>
    <w:rsid w:val="1CD13F56"/>
    <w:rsid w:val="1CEE6C3F"/>
    <w:rsid w:val="1D1D7F31"/>
    <w:rsid w:val="1E901D00"/>
    <w:rsid w:val="1ECC2C27"/>
    <w:rsid w:val="1F20701C"/>
    <w:rsid w:val="1F8247FE"/>
    <w:rsid w:val="20CB44A3"/>
    <w:rsid w:val="212C5BFF"/>
    <w:rsid w:val="22B1460E"/>
    <w:rsid w:val="230B683A"/>
    <w:rsid w:val="23563407"/>
    <w:rsid w:val="23B02B18"/>
    <w:rsid w:val="23C43443"/>
    <w:rsid w:val="23D74548"/>
    <w:rsid w:val="24DB1E16"/>
    <w:rsid w:val="25937F25"/>
    <w:rsid w:val="26136488"/>
    <w:rsid w:val="26437C73"/>
    <w:rsid w:val="271B758F"/>
    <w:rsid w:val="27AE736E"/>
    <w:rsid w:val="289F315B"/>
    <w:rsid w:val="28C826B1"/>
    <w:rsid w:val="29004CED"/>
    <w:rsid w:val="2A047719"/>
    <w:rsid w:val="2A243728"/>
    <w:rsid w:val="2AA4009C"/>
    <w:rsid w:val="2B363731"/>
    <w:rsid w:val="2B710DDE"/>
    <w:rsid w:val="2B7B1C5D"/>
    <w:rsid w:val="2C3F0EDD"/>
    <w:rsid w:val="2C493B09"/>
    <w:rsid w:val="2CCE304A"/>
    <w:rsid w:val="2DA63FAC"/>
    <w:rsid w:val="2F4A29FC"/>
    <w:rsid w:val="2FF0345D"/>
    <w:rsid w:val="306D731C"/>
    <w:rsid w:val="30C47C02"/>
    <w:rsid w:val="33142BF6"/>
    <w:rsid w:val="333F3003"/>
    <w:rsid w:val="33890C8F"/>
    <w:rsid w:val="339A5C84"/>
    <w:rsid w:val="34847DD4"/>
    <w:rsid w:val="34E40873"/>
    <w:rsid w:val="35260E8C"/>
    <w:rsid w:val="357E2A76"/>
    <w:rsid w:val="36A858D0"/>
    <w:rsid w:val="36FB1EA4"/>
    <w:rsid w:val="37976071"/>
    <w:rsid w:val="39431AAE"/>
    <w:rsid w:val="39E44E71"/>
    <w:rsid w:val="3CAA4150"/>
    <w:rsid w:val="3CE170D8"/>
    <w:rsid w:val="3DB334D8"/>
    <w:rsid w:val="3DF14FF1"/>
    <w:rsid w:val="3FC03C8B"/>
    <w:rsid w:val="401A5037"/>
    <w:rsid w:val="41886A2A"/>
    <w:rsid w:val="42733236"/>
    <w:rsid w:val="42A86388"/>
    <w:rsid w:val="42DF6B1E"/>
    <w:rsid w:val="44421112"/>
    <w:rsid w:val="44A21BB1"/>
    <w:rsid w:val="44F325A8"/>
    <w:rsid w:val="45561319"/>
    <w:rsid w:val="460203A3"/>
    <w:rsid w:val="485E2293"/>
    <w:rsid w:val="48B94236"/>
    <w:rsid w:val="49303C2F"/>
    <w:rsid w:val="4B8244EA"/>
    <w:rsid w:val="4D186EB4"/>
    <w:rsid w:val="4FA72771"/>
    <w:rsid w:val="50506965"/>
    <w:rsid w:val="51167616"/>
    <w:rsid w:val="529E1C09"/>
    <w:rsid w:val="535F77E1"/>
    <w:rsid w:val="53C5766A"/>
    <w:rsid w:val="543F11CA"/>
    <w:rsid w:val="54A008B7"/>
    <w:rsid w:val="55E464CD"/>
    <w:rsid w:val="55F67FAE"/>
    <w:rsid w:val="56811F6E"/>
    <w:rsid w:val="56951575"/>
    <w:rsid w:val="58A678B0"/>
    <w:rsid w:val="5A2D16A6"/>
    <w:rsid w:val="5BC14BBB"/>
    <w:rsid w:val="5C425CFC"/>
    <w:rsid w:val="5C615072"/>
    <w:rsid w:val="5DB22A0D"/>
    <w:rsid w:val="5EEC7192"/>
    <w:rsid w:val="5F951E3D"/>
    <w:rsid w:val="61BC20AC"/>
    <w:rsid w:val="61FB0E26"/>
    <w:rsid w:val="62105334"/>
    <w:rsid w:val="62CF7BBD"/>
    <w:rsid w:val="65513062"/>
    <w:rsid w:val="65A45331"/>
    <w:rsid w:val="666C1B19"/>
    <w:rsid w:val="66A001EE"/>
    <w:rsid w:val="671B7875"/>
    <w:rsid w:val="684B23DC"/>
    <w:rsid w:val="68925915"/>
    <w:rsid w:val="690600B1"/>
    <w:rsid w:val="694C640B"/>
    <w:rsid w:val="69E93C5A"/>
    <w:rsid w:val="6B166CD1"/>
    <w:rsid w:val="6C4A35E0"/>
    <w:rsid w:val="6CA83BBC"/>
    <w:rsid w:val="6D187528"/>
    <w:rsid w:val="6E3556C0"/>
    <w:rsid w:val="6E92178E"/>
    <w:rsid w:val="6F86081D"/>
    <w:rsid w:val="6FAD71DC"/>
    <w:rsid w:val="6FD44A65"/>
    <w:rsid w:val="70FA04FB"/>
    <w:rsid w:val="71A12CDB"/>
    <w:rsid w:val="721F6F3A"/>
    <w:rsid w:val="72CE52AB"/>
    <w:rsid w:val="73264D6C"/>
    <w:rsid w:val="73306456"/>
    <w:rsid w:val="738E5EA3"/>
    <w:rsid w:val="741428D2"/>
    <w:rsid w:val="75070109"/>
    <w:rsid w:val="7634625D"/>
    <w:rsid w:val="77A45665"/>
    <w:rsid w:val="78106856"/>
    <w:rsid w:val="78D1407A"/>
    <w:rsid w:val="79BF0534"/>
    <w:rsid w:val="7ABE4037"/>
    <w:rsid w:val="7B0F286E"/>
    <w:rsid w:val="7BA479E1"/>
    <w:rsid w:val="7C945CA8"/>
    <w:rsid w:val="7CB70FD0"/>
    <w:rsid w:val="7D566CF4"/>
    <w:rsid w:val="7F4616ED"/>
    <w:rsid w:val="FFF5D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0"/>
    </w:rPr>
  </w:style>
  <w:style w:type="paragraph" w:customStyle="1" w:styleId="5">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6">
    <w:name w:val="标题 21"/>
    <w:basedOn w:val="1"/>
    <w:link w:val="9"/>
    <w:qFormat/>
    <w:uiPriority w:val="0"/>
    <w:pPr>
      <w:autoSpaceDE w:val="0"/>
      <w:autoSpaceDN w:val="0"/>
      <w:spacing w:before="260" w:beforeAutospacing="0" w:after="260" w:afterAutospacing="0" w:line="416" w:lineRule="auto"/>
      <w:jc w:val="left"/>
      <w:outlineLvl w:val="1"/>
    </w:pPr>
    <w:rPr>
      <w:rFonts w:ascii="Arial" w:hAnsi="Arial" w:eastAsia="黑体"/>
      <w:b/>
      <w:bCs/>
      <w:kern w:val="0"/>
      <w:sz w:val="32"/>
      <w:szCs w:val="32"/>
    </w:rPr>
  </w:style>
  <w:style w:type="character" w:customStyle="1" w:styleId="7">
    <w:name w:val="默认段落字体1"/>
    <w:link w:val="1"/>
    <w:semiHidden/>
    <w:qFormat/>
    <w:uiPriority w:val="0"/>
  </w:style>
  <w:style w:type="table" w:customStyle="1" w:styleId="8">
    <w:name w:val="普通表格1"/>
    <w:semiHidden/>
    <w:qFormat/>
    <w:uiPriority w:val="0"/>
  </w:style>
  <w:style w:type="character" w:customStyle="1" w:styleId="9">
    <w:name w:val="标题 2 Char"/>
    <w:link w:val="6"/>
    <w:qFormat/>
    <w:uiPriority w:val="0"/>
    <w:rPr>
      <w:rFonts w:ascii="Arial" w:hAnsi="Arial" w:eastAsia="黑体"/>
      <w:b/>
      <w:bCs/>
      <w:sz w:val="32"/>
      <w:szCs w:val="32"/>
      <w:lang w:bidi="ar-SA"/>
    </w:rPr>
  </w:style>
  <w:style w:type="paragraph" w:customStyle="1" w:styleId="10">
    <w:name w:val="注释标题1"/>
    <w:basedOn w:val="1"/>
    <w:link w:val="11"/>
    <w:qFormat/>
    <w:uiPriority w:val="0"/>
    <w:pPr>
      <w:jc w:val="center"/>
    </w:pPr>
    <w:rPr>
      <w:rFonts w:ascii="Calibri" w:hAnsi="Calibri" w:eastAsia="楷体_GB2312"/>
      <w:szCs w:val="22"/>
    </w:rPr>
  </w:style>
  <w:style w:type="character" w:customStyle="1" w:styleId="11">
    <w:name w:val="注释标题 Char"/>
    <w:basedOn w:val="7"/>
    <w:link w:val="10"/>
    <w:qFormat/>
    <w:uiPriority w:val="0"/>
    <w:rPr>
      <w:rFonts w:ascii="Calibri" w:hAnsi="Calibri" w:eastAsia="楷体_GB2312"/>
      <w:kern w:val="2"/>
      <w:sz w:val="24"/>
      <w:szCs w:val="22"/>
      <w:lang w:val="en-US" w:eastAsia="zh-CN" w:bidi="ar-SA"/>
    </w:rPr>
  </w:style>
  <w:style w:type="paragraph" w:customStyle="1" w:styleId="12">
    <w:name w:val="批注文字1"/>
    <w:basedOn w:val="1"/>
    <w:link w:val="13"/>
    <w:semiHidden/>
    <w:qFormat/>
    <w:uiPriority w:val="0"/>
    <w:pPr>
      <w:jc w:val="left"/>
    </w:pPr>
  </w:style>
  <w:style w:type="character" w:customStyle="1" w:styleId="13">
    <w:name w:val="批注文字 Char"/>
    <w:basedOn w:val="7"/>
    <w:link w:val="12"/>
    <w:semiHidden/>
    <w:qFormat/>
    <w:uiPriority w:val="0"/>
    <w:rPr>
      <w:rFonts w:ascii="Times New Roman" w:hAnsi="Times New Roman" w:eastAsia="宋体"/>
      <w:sz w:val="24"/>
      <w:szCs w:val="24"/>
    </w:rPr>
  </w:style>
  <w:style w:type="paragraph" w:customStyle="1" w:styleId="14">
    <w:name w:val="正文文本缩进1"/>
    <w:basedOn w:val="1"/>
    <w:qFormat/>
    <w:uiPriority w:val="0"/>
    <w:pPr>
      <w:spacing w:beforeAutospacing="0" w:afterAutospacing="0" w:line="360" w:lineRule="auto"/>
      <w:ind w:firstLine="420" w:firstLineChars="200"/>
    </w:pPr>
    <w:rPr>
      <w:rFonts w:ascii="宋体" w:hAnsi="宋体"/>
      <w:sz w:val="21"/>
      <w:szCs w:val="21"/>
    </w:rPr>
  </w:style>
  <w:style w:type="paragraph" w:customStyle="1" w:styleId="15">
    <w:name w:val="文本块1"/>
    <w:basedOn w:val="1"/>
    <w:qFormat/>
    <w:uiPriority w:val="0"/>
    <w:pPr>
      <w:spacing w:beforeAutospacing="0" w:after="120" w:afterAutospacing="0"/>
      <w:ind w:left="1440" w:leftChars="700" w:right="1440" w:rightChars="700"/>
    </w:pPr>
  </w:style>
  <w:style w:type="paragraph" w:customStyle="1" w:styleId="16">
    <w:name w:val="纯文本1"/>
    <w:basedOn w:val="1"/>
    <w:link w:val="17"/>
    <w:qFormat/>
    <w:uiPriority w:val="0"/>
    <w:rPr>
      <w:rFonts w:ascii="宋体" w:hAnsi="Courier New"/>
      <w:sz w:val="28"/>
      <w:szCs w:val="20"/>
    </w:rPr>
  </w:style>
  <w:style w:type="character" w:customStyle="1" w:styleId="17">
    <w:name w:val="纯文本 Char"/>
    <w:basedOn w:val="7"/>
    <w:link w:val="16"/>
    <w:qFormat/>
    <w:uiPriority w:val="0"/>
    <w:rPr>
      <w:rFonts w:ascii="宋体" w:hAnsi="Courier New" w:eastAsia="宋体"/>
      <w:sz w:val="20"/>
      <w:szCs w:val="20"/>
    </w:rPr>
  </w:style>
  <w:style w:type="paragraph" w:customStyle="1" w:styleId="18">
    <w:name w:val="日期1"/>
    <w:basedOn w:val="1"/>
    <w:qFormat/>
    <w:uiPriority w:val="0"/>
    <w:pPr>
      <w:ind w:left="100" w:leftChars="2500"/>
    </w:pPr>
  </w:style>
  <w:style w:type="paragraph" w:customStyle="1" w:styleId="19">
    <w:name w:val="批注框文本1"/>
    <w:basedOn w:val="1"/>
    <w:link w:val="20"/>
    <w:semiHidden/>
    <w:qFormat/>
    <w:uiPriority w:val="0"/>
    <w:rPr>
      <w:sz w:val="18"/>
      <w:szCs w:val="18"/>
    </w:rPr>
  </w:style>
  <w:style w:type="character" w:customStyle="1" w:styleId="20">
    <w:name w:val="批注框文本 Char"/>
    <w:basedOn w:val="7"/>
    <w:link w:val="19"/>
    <w:semiHidden/>
    <w:qFormat/>
    <w:uiPriority w:val="0"/>
    <w:rPr>
      <w:rFonts w:ascii="Times New Roman" w:hAnsi="Times New Roman" w:eastAsia="宋体"/>
      <w:sz w:val="18"/>
      <w:szCs w:val="18"/>
    </w:rPr>
  </w:style>
  <w:style w:type="paragraph" w:customStyle="1" w:styleId="21">
    <w:name w:val="页脚1"/>
    <w:basedOn w:val="1"/>
    <w:link w:val="22"/>
    <w:qFormat/>
    <w:uiPriority w:val="0"/>
    <w:pPr>
      <w:tabs>
        <w:tab w:val="center" w:pos="4153"/>
        <w:tab w:val="right" w:pos="8306"/>
      </w:tabs>
      <w:snapToGrid w:val="0"/>
      <w:jc w:val="left"/>
    </w:pPr>
    <w:rPr>
      <w:sz w:val="18"/>
      <w:szCs w:val="18"/>
    </w:rPr>
  </w:style>
  <w:style w:type="character" w:customStyle="1" w:styleId="22">
    <w:name w:val="页脚 Char"/>
    <w:basedOn w:val="7"/>
    <w:link w:val="21"/>
    <w:qFormat/>
    <w:uiPriority w:val="0"/>
    <w:rPr>
      <w:rFonts w:ascii="Times New Roman" w:hAnsi="Times New Roman" w:eastAsia="宋体"/>
      <w:sz w:val="18"/>
      <w:szCs w:val="18"/>
    </w:rPr>
  </w:style>
  <w:style w:type="paragraph" w:customStyle="1" w:styleId="23">
    <w:name w:val="页眉1"/>
    <w:basedOn w:val="1"/>
    <w:link w:val="24"/>
    <w:qFormat/>
    <w:uiPriority w:val="0"/>
    <w:pPr>
      <w:pBdr>
        <w:bottom w:val="single" w:color="000000" w:sz="6" w:space="1"/>
      </w:pBdr>
      <w:tabs>
        <w:tab w:val="center" w:pos="4153"/>
        <w:tab w:val="right" w:pos="8306"/>
      </w:tabs>
      <w:snapToGrid w:val="0"/>
      <w:jc w:val="center"/>
    </w:pPr>
    <w:rPr>
      <w:sz w:val="18"/>
      <w:szCs w:val="18"/>
    </w:rPr>
  </w:style>
  <w:style w:type="character" w:customStyle="1" w:styleId="24">
    <w:name w:val="页眉 Char"/>
    <w:basedOn w:val="7"/>
    <w:link w:val="23"/>
    <w:qFormat/>
    <w:uiPriority w:val="0"/>
    <w:rPr>
      <w:rFonts w:ascii="Times New Roman" w:hAnsi="Times New Roman" w:eastAsia="宋体"/>
      <w:sz w:val="18"/>
      <w:szCs w:val="18"/>
    </w:rPr>
  </w:style>
  <w:style w:type="paragraph" w:customStyle="1" w:styleId="25">
    <w:name w:val="HTML 预设格式1"/>
    <w:basedOn w:val="1"/>
    <w:link w:val="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26">
    <w:name w:val="HTML 预设格式 Char"/>
    <w:link w:val="25"/>
    <w:qFormat/>
    <w:uiPriority w:val="0"/>
    <w:rPr>
      <w:rFonts w:ascii="宋体" w:hAnsi="宋体" w:eastAsia="宋体"/>
      <w:sz w:val="24"/>
      <w:szCs w:val="24"/>
      <w:lang w:bidi="ar-SA"/>
    </w:rPr>
  </w:style>
  <w:style w:type="paragraph" w:customStyle="1" w:styleId="27">
    <w:name w:val="普通(网站)1"/>
    <w:basedOn w:val="1"/>
    <w:qFormat/>
    <w:uiPriority w:val="0"/>
    <w:rPr>
      <w:sz w:val="24"/>
    </w:rPr>
  </w:style>
  <w:style w:type="paragraph" w:customStyle="1" w:styleId="28">
    <w:name w:val="批注主题1"/>
    <w:basedOn w:val="12"/>
    <w:link w:val="29"/>
    <w:semiHidden/>
    <w:qFormat/>
    <w:uiPriority w:val="0"/>
    <w:rPr>
      <w:b/>
      <w:bCs/>
    </w:rPr>
  </w:style>
  <w:style w:type="character" w:customStyle="1" w:styleId="29">
    <w:name w:val="批注主题 Char"/>
    <w:basedOn w:val="13"/>
    <w:link w:val="28"/>
    <w:semiHidden/>
    <w:qFormat/>
    <w:uiPriority w:val="0"/>
    <w:rPr>
      <w:b/>
      <w:bCs/>
    </w:rPr>
  </w:style>
  <w:style w:type="table" w:customStyle="1" w:styleId="30">
    <w:name w:val="网格型1"/>
    <w:basedOn w:val="8"/>
    <w:qFormat/>
    <w:uiPriority w:val="0"/>
    <w:pPr>
      <w:widowControl w:val="0"/>
      <w:jc w:val="both"/>
    </w:pPr>
    <w:rPr>
      <w:rFonts w:ascii="Times New Roman" w:hAnsi="Times New Roman"/>
      <w:lang w:val="en-US" w:eastAsia="zh-CN" w:bidi="ar-SA"/>
    </w:rPr>
  </w:style>
  <w:style w:type="character" w:customStyle="1" w:styleId="31">
    <w:name w:val="页码1"/>
    <w:basedOn w:val="7"/>
    <w:link w:val="1"/>
    <w:qFormat/>
    <w:uiPriority w:val="0"/>
  </w:style>
  <w:style w:type="character" w:customStyle="1" w:styleId="32">
    <w:name w:val="超链接1"/>
    <w:basedOn w:val="7"/>
    <w:link w:val="1"/>
    <w:qFormat/>
    <w:uiPriority w:val="0"/>
    <w:rPr>
      <w:color w:val="0000FF"/>
      <w:u w:val="single"/>
    </w:rPr>
  </w:style>
  <w:style w:type="character" w:customStyle="1" w:styleId="33">
    <w:name w:val="批注引用1"/>
    <w:basedOn w:val="7"/>
    <w:link w:val="1"/>
    <w:semiHidden/>
    <w:qFormat/>
    <w:uiPriority w:val="0"/>
    <w:rPr>
      <w:sz w:val="21"/>
    </w:rPr>
  </w:style>
  <w:style w:type="character" w:customStyle="1" w:styleId="34">
    <w:name w:val="headline-content2"/>
    <w:basedOn w:val="7"/>
    <w:link w:val="1"/>
    <w:qFormat/>
    <w:uiPriority w:val="0"/>
  </w:style>
  <w:style w:type="paragraph" w:customStyle="1" w:styleId="35">
    <w:name w:val="段"/>
    <w:qFormat/>
    <w:uiPriority w:val="0"/>
    <w:pPr>
      <w:autoSpaceDE w:val="0"/>
      <w:autoSpaceDN w:val="0"/>
      <w:snapToGrid w:val="0"/>
      <w:spacing w:beforeAutospacing="0" w:afterAutospacing="0" w:line="500" w:lineRule="exact"/>
      <w:ind w:firstLine="560" w:firstLineChars="200"/>
    </w:pPr>
    <w:rPr>
      <w:rFonts w:ascii="仿宋_GB2312" w:hAnsi="宋体" w:eastAsia="仿宋_GB2312" w:cstheme="minorBidi"/>
      <w:sz w:val="28"/>
      <w:szCs w:val="28"/>
      <w:lang w:val="en-US" w:eastAsia="zh-CN" w:bidi="ar-SA"/>
    </w:rPr>
  </w:style>
  <w:style w:type="paragraph" w:customStyle="1" w:styleId="36">
    <w:name w:val=" Char"/>
    <w:basedOn w:val="1"/>
    <w:qFormat/>
    <w:uiPriority w:val="0"/>
    <w:pPr>
      <w:spacing w:beforeAutospacing="0" w:after="160" w:afterAutospacing="0" w:line="320" w:lineRule="exact"/>
      <w:jc w:val="center"/>
    </w:pPr>
    <w:rPr>
      <w:rFonts w:ascii="Verdana" w:hAnsi="Verdana"/>
      <w:kern w:val="0"/>
      <w:sz w:val="18"/>
      <w:szCs w:val="20"/>
      <w:lang w:eastAsia="en-US"/>
    </w:rPr>
  </w:style>
  <w:style w:type="paragraph" w:customStyle="1" w:styleId="37">
    <w:name w:val="z-窗体顶端"/>
    <w:basedOn w:val="1"/>
    <w:qFormat/>
    <w:uiPriority w:val="0"/>
    <w:pPr>
      <w:pBdr>
        <w:bottom w:val="single" w:color="000000" w:sz="6" w:space="1"/>
      </w:pBdr>
      <w:jc w:val="center"/>
    </w:pPr>
    <w:rPr>
      <w:rFonts w:ascii="Arial" w:eastAsia="宋体"/>
      <w:vanish/>
      <w:sz w:val="16"/>
    </w:rPr>
  </w:style>
  <w:style w:type="paragraph" w:customStyle="1" w:styleId="38">
    <w:name w:val="Char"/>
    <w:basedOn w:val="1"/>
    <w:qFormat/>
    <w:uiPriority w:val="0"/>
    <w:pPr>
      <w:spacing w:beforeAutospacing="0" w:after="160" w:afterAutospacing="0" w:line="240" w:lineRule="exact"/>
      <w:jc w:val="left"/>
    </w:pPr>
    <w:rPr>
      <w:rFonts w:ascii="Verdana" w:hAnsi="Verdana" w:eastAsia="楷体_GB2312"/>
      <w:kern w:val="0"/>
      <w:sz w:val="18"/>
      <w:szCs w:val="20"/>
      <w:lang w:eastAsia="en-US"/>
    </w:rPr>
  </w:style>
  <w:style w:type="paragraph" w:customStyle="1" w:styleId="39">
    <w:name w:val="z-窗体底端"/>
    <w:basedOn w:val="1"/>
    <w:qFormat/>
    <w:uiPriority w:val="0"/>
    <w:pPr>
      <w:pBdr>
        <w:top w:val="single" w:color="000000"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3485</Words>
  <Characters>3962</Characters>
  <Lines>0</Lines>
  <Paragraphs>0</Paragraphs>
  <TotalTime>1</TotalTime>
  <ScaleCrop>false</ScaleCrop>
  <LinksUpToDate>false</LinksUpToDate>
  <CharactersWithSpaces>4060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2023-02-20T14:05:00Z</dcterms:created>
  <dc:creator>Administrator</dc:creator>
  <cp:lastModifiedBy>uos</cp:lastModifiedBy>
  <cp:lastPrinted>2024-03-18T10:38:00Z</cp:lastPrinted>
  <dcterms:modified xsi:type="dcterms:W3CDTF">2024-04-23T09:50:32Z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F160C419BCDE47BDB514C861897D5EDF_13</vt:lpwstr>
  </property>
</Properties>
</file>