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小标宋简体" w:cs="Times New Roman" w:asciiTheme="minorHAnsi" w:hAnsiTheme="minorHAnsi"/>
          <w:color w:val="000000"/>
          <w:sz w:val="32"/>
          <w:szCs w:val="32"/>
          <w:lang w:eastAsia="zh-CN"/>
        </w:rPr>
      </w:pPr>
      <w:r>
        <w:rPr>
          <w:rFonts w:hint="eastAsia" w:eastAsia="方正小标宋简体" w:cs="Times New Roman" w:asciiTheme="minorHAnsi" w:hAnsiTheme="minorHAnsi"/>
          <w:color w:val="000000"/>
          <w:sz w:val="32"/>
          <w:szCs w:val="32"/>
        </w:rPr>
        <w:t>廊坊市</w:t>
      </w:r>
      <w:r>
        <w:rPr>
          <w:rFonts w:hint="eastAsia" w:eastAsia="方正小标宋简体" w:cs="Times New Roman"/>
          <w:color w:val="000000"/>
          <w:sz w:val="32"/>
          <w:szCs w:val="32"/>
          <w:lang w:val="en-US" w:eastAsia="zh-CN"/>
        </w:rPr>
        <w:t>香皂</w:t>
      </w:r>
      <w:r>
        <w:rPr>
          <w:rFonts w:hint="eastAsia" w:eastAsia="方正小标宋简体" w:cs="Times New Roman" w:asciiTheme="minorHAnsi" w:hAnsiTheme="minorHAnsi"/>
          <w:color w:val="000000"/>
          <w:sz w:val="32"/>
          <w:szCs w:val="32"/>
          <w:lang w:val="en-US" w:eastAsia="zh-CN"/>
        </w:rPr>
        <w:t>产品</w:t>
      </w:r>
      <w:r>
        <w:rPr>
          <w:rFonts w:hint="eastAsia" w:eastAsia="方正小标宋简体" w:cs="Times New Roman" w:asciiTheme="minorHAnsi" w:hAnsiTheme="minorHAnsi"/>
          <w:color w:val="000000"/>
          <w:sz w:val="32"/>
          <w:szCs w:val="32"/>
        </w:rPr>
        <w:t>质量监督抽查</w:t>
      </w:r>
      <w:r>
        <w:rPr>
          <w:rFonts w:hint="eastAsia" w:eastAsia="方正小标宋简体" w:cs="Times New Roman" w:asciiTheme="minorHAnsi" w:hAnsiTheme="minorHAnsi"/>
          <w:color w:val="000000"/>
          <w:sz w:val="32"/>
          <w:szCs w:val="32"/>
          <w:lang w:eastAsia="zh-CN"/>
        </w:rPr>
        <w:t>实施细则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小标宋简体" w:asciiTheme="minorHAnsi" w:hAnsiTheme="minorHAnsi"/>
          <w:color w:val="000000"/>
          <w:sz w:val="32"/>
          <w:szCs w:val="32"/>
        </w:rPr>
      </w:pPr>
      <w:r>
        <w:rPr>
          <w:rFonts w:eastAsia="方正小标宋简体" w:asciiTheme="minorHAnsi" w:hAnsiTheme="minorHAnsi"/>
          <w:color w:val="000000"/>
          <w:sz w:val="32"/>
          <w:szCs w:val="32"/>
        </w:rPr>
        <w:t>（202</w:t>
      </w:r>
      <w:r>
        <w:rPr>
          <w:rFonts w:hint="eastAsia" w:eastAsia="方正小标宋简体" w:asciiTheme="minorHAnsi" w:hAnsiTheme="minorHAnsi"/>
          <w:color w:val="000000"/>
          <w:sz w:val="32"/>
          <w:szCs w:val="32"/>
          <w:lang w:val="en-US" w:eastAsia="zh-CN"/>
        </w:rPr>
        <w:t>4</w:t>
      </w:r>
      <w:r>
        <w:rPr>
          <w:rFonts w:eastAsia="方正小标宋简体" w:asciiTheme="minorHAnsi" w:hAnsiTheme="minorHAnsi"/>
          <w:color w:val="000000"/>
          <w:sz w:val="32"/>
          <w:szCs w:val="32"/>
        </w:rPr>
        <w:t>年版）</w:t>
      </w:r>
    </w:p>
    <w:p>
      <w:pPr>
        <w:jc w:val="center"/>
        <w:rPr>
          <w:rFonts w:hint="eastAsia" w:ascii="宋体" w:hAnsi="宋体" w:eastAsia="宋体"/>
          <w:b/>
          <w:bCs/>
          <w:sz w:val="40"/>
          <w:szCs w:val="40"/>
          <w:lang w:val="en-US" w:eastAsia="zh-CN"/>
        </w:rPr>
      </w:pPr>
      <w:bookmarkStart w:id="0" w:name="_GoBack"/>
      <w:bookmarkEnd w:id="0"/>
    </w:p>
    <w:p>
      <w:pPr>
        <w:keepNext w:val="0"/>
        <w:keepLines w:val="0"/>
        <w:pageBreakBefore w:val="0"/>
        <w:widowControl w:val="0"/>
        <w:kinsoku/>
        <w:wordWrap/>
        <w:overflowPunct/>
        <w:topLinePunct w:val="0"/>
        <w:autoSpaceDE/>
        <w:autoSpaceDN/>
        <w:bidi w:val="0"/>
        <w:spacing w:beforeAutospacing="0" w:afterAutospacing="0" w:line="400" w:lineRule="exact"/>
        <w:ind w:firstLine="420" w:firstLineChars="200"/>
        <w:textAlignment w:val="auto"/>
        <w:rPr>
          <w:rFonts w:hint="eastAsia" w:ascii="仿宋_GB2312" w:hAnsi="仿宋_GB2312" w:eastAsia="仿宋_GB2312"/>
          <w:b/>
          <w:bCs/>
          <w:sz w:val="28"/>
          <w:szCs w:val="28"/>
          <w:lang w:eastAsia="zh-CN"/>
        </w:rPr>
      </w:pPr>
      <w:r>
        <w:rPr>
          <w:rFonts w:hint="default" w:ascii="Times New Roman" w:hAnsi="Times New Roman" w:eastAsia="黑体" w:cs="Times New Roman"/>
          <w:b w:val="0"/>
          <w:bCs w:val="0"/>
          <w:sz w:val="21"/>
          <w:szCs w:val="21"/>
          <w:lang w:val="en-US" w:eastAsia="zh-CN"/>
        </w:rPr>
        <w:t>1</w:t>
      </w:r>
      <w:r>
        <w:rPr>
          <w:rFonts w:hint="default" w:ascii="Times New Roman" w:hAnsi="Times New Roman" w:eastAsia="黑体" w:cs="Times New Roman"/>
          <w:b w:val="0"/>
          <w:bCs w:val="0"/>
          <w:sz w:val="21"/>
          <w:szCs w:val="21"/>
          <w:lang w:eastAsia="zh-CN"/>
        </w:rPr>
        <w:t>抽样方法</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以随机抽样的方式抽取样品，随机数一般可使用投骰子或随机数表等方法产生。</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产品</w:t>
      </w:r>
      <w:r>
        <w:rPr>
          <w:rFonts w:hint="eastAsia" w:ascii="宋体" w:hAnsi="宋体" w:cs="宋体"/>
          <w:color w:val="auto"/>
          <w:szCs w:val="21"/>
          <w:lang w:eastAsia="zh-CN"/>
        </w:rPr>
        <w:t>净含量≤</w:t>
      </w:r>
      <w:r>
        <w:rPr>
          <w:rFonts w:hint="eastAsia" w:ascii="宋体" w:hAnsi="宋体" w:cs="宋体"/>
          <w:color w:val="auto"/>
          <w:szCs w:val="21"/>
          <w:lang w:val="en-US" w:eastAsia="zh-CN"/>
        </w:rPr>
        <w:t>100g的，抽取12块，其中检验样品7块，备用样品5块；产品</w:t>
      </w:r>
      <w:r>
        <w:rPr>
          <w:rFonts w:hint="eastAsia" w:ascii="宋体" w:hAnsi="宋体" w:cs="宋体"/>
          <w:color w:val="auto"/>
          <w:szCs w:val="21"/>
          <w:lang w:eastAsia="zh-CN"/>
        </w:rPr>
        <w:t>净含量＞</w:t>
      </w:r>
      <w:r>
        <w:rPr>
          <w:rFonts w:hint="eastAsia" w:ascii="宋体" w:hAnsi="宋体" w:cs="宋体"/>
          <w:color w:val="auto"/>
          <w:szCs w:val="21"/>
          <w:lang w:val="en-US" w:eastAsia="zh-CN"/>
        </w:rPr>
        <w:t>100g的，抽取10块，其中检验样品6块，备用样品4块。</w:t>
      </w:r>
    </w:p>
    <w:p>
      <w:pPr>
        <w:keepNext w:val="0"/>
        <w:keepLines w:val="0"/>
        <w:pageBreakBefore w:val="0"/>
        <w:widowControl w:val="0"/>
        <w:kinsoku/>
        <w:wordWrap/>
        <w:overflowPunct/>
        <w:topLinePunct w:val="0"/>
        <w:autoSpaceDE/>
        <w:autoSpaceDN/>
        <w:bidi w:val="0"/>
        <w:spacing w:line="400" w:lineRule="exact"/>
        <w:ind w:firstLine="240" w:firstLineChars="100"/>
        <w:jc w:val="both"/>
        <w:textAlignment w:val="auto"/>
        <w:rPr>
          <w:rFonts w:hint="eastAsia" w:ascii="仿宋_GB2312" w:hAnsi="仿宋_GB2312" w:eastAsia="仿宋_GB2312"/>
          <w:b/>
          <w:bCs/>
          <w:sz w:val="24"/>
          <w:szCs w:val="24"/>
          <w:lang w:val="en-US" w:eastAsia="zh-CN"/>
        </w:rPr>
      </w:pPr>
    </w:p>
    <w:p>
      <w:pPr>
        <w:ind w:firstLine="420" w:firstLineChars="200"/>
        <w:jc w:val="left"/>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val="en-US" w:eastAsia="zh-CN"/>
        </w:rPr>
        <w:t>2检验依据</w:t>
      </w:r>
    </w:p>
    <w:tbl>
      <w:tblPr>
        <w:tblStyle w:val="2"/>
        <w:tblpPr w:leftFromText="180" w:rightFromText="180" w:vertAnchor="text" w:horzAnchor="page" w:tblpX="1335" w:tblpY="379"/>
        <w:tblOverlap w:val="never"/>
        <w:tblW w:w="95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3865"/>
        <w:gridCol w:w="4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1479" w:type="dxa"/>
            <w:vAlign w:val="center"/>
          </w:tcPr>
          <w:p>
            <w:pPr>
              <w:snapToGrid w:val="0"/>
              <w:spacing w:beforeAutospacing="0" w:afterAutospacing="0" w:line="520" w:lineRule="exact"/>
              <w:jc w:val="center"/>
              <w:rPr>
                <w:rFonts w:hint="default" w:ascii="Times New Roman" w:hAnsi="Times New Roman" w:eastAsia="宋体" w:cs="Times New Roman"/>
                <w:color w:val="000000"/>
                <w:sz w:val="21"/>
                <w:szCs w:val="21"/>
                <w:lang w:eastAsia="zh-CN"/>
              </w:rPr>
            </w:pPr>
            <w:r>
              <w:rPr>
                <w:rFonts w:hint="eastAsia" w:cs="Times New Roman"/>
                <w:color w:val="000000"/>
                <w:sz w:val="21"/>
                <w:szCs w:val="21"/>
                <w:lang w:eastAsia="zh-CN"/>
              </w:rPr>
              <w:t>产品</w:t>
            </w:r>
            <w:r>
              <w:rPr>
                <w:rFonts w:hint="default" w:ascii="Times New Roman" w:hAnsi="Times New Roman" w:eastAsia="宋体" w:cs="Times New Roman"/>
                <w:color w:val="000000"/>
                <w:sz w:val="21"/>
                <w:szCs w:val="21"/>
                <w:lang w:eastAsia="zh-CN"/>
              </w:rPr>
              <w:t>名称</w:t>
            </w:r>
          </w:p>
        </w:tc>
        <w:tc>
          <w:tcPr>
            <w:tcW w:w="3865" w:type="dxa"/>
            <w:vAlign w:val="center"/>
          </w:tcPr>
          <w:p>
            <w:pPr>
              <w:snapToGrid w:val="0"/>
              <w:spacing w:beforeAutospacing="0" w:afterAutospacing="0" w:line="52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检验项目</w:t>
            </w:r>
          </w:p>
        </w:tc>
        <w:tc>
          <w:tcPr>
            <w:tcW w:w="4215" w:type="dxa"/>
            <w:vAlign w:val="center"/>
          </w:tcPr>
          <w:p>
            <w:pPr>
              <w:snapToGrid w:val="0"/>
              <w:spacing w:beforeAutospacing="0" w:afterAutospacing="0" w:line="520" w:lineRule="exact"/>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检验</w:t>
            </w:r>
            <w:r>
              <w:rPr>
                <w:rFonts w:hint="eastAsia" w:cs="Times New Roman"/>
                <w:color w:val="000000"/>
                <w:sz w:val="21"/>
                <w:szCs w:val="21"/>
                <w:lang w:eastAsia="zh-CN"/>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atLeast"/>
        </w:trPr>
        <w:tc>
          <w:tcPr>
            <w:tcW w:w="1479" w:type="dxa"/>
            <w:vMerge w:val="restart"/>
            <w:vAlign w:val="center"/>
          </w:tcPr>
          <w:p>
            <w:pPr>
              <w:spacing w:beforeAutospacing="0" w:afterAutospacing="0" w:line="520" w:lineRule="exact"/>
              <w:jc w:val="center"/>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val="0"/>
                <w:bCs w:val="0"/>
                <w:color w:val="000000"/>
                <w:sz w:val="21"/>
                <w:szCs w:val="21"/>
                <w:lang w:eastAsia="zh-CN"/>
              </w:rPr>
              <w:t>香皂</w:t>
            </w:r>
          </w:p>
        </w:tc>
        <w:tc>
          <w:tcPr>
            <w:tcW w:w="386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游离苛性碱</w:t>
            </w:r>
          </w:p>
        </w:tc>
        <w:tc>
          <w:tcPr>
            <w:tcW w:w="421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QB/T 2623.1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atLeast"/>
        </w:trPr>
        <w:tc>
          <w:tcPr>
            <w:tcW w:w="1479" w:type="dxa"/>
            <w:vMerge w:val="continue"/>
            <w:vAlign w:val="center"/>
          </w:tcPr>
          <w:p>
            <w:pPr>
              <w:tabs>
                <w:tab w:val="left" w:pos="492"/>
              </w:tabs>
              <w:spacing w:beforeAutospacing="0" w:afterAutospacing="0" w:line="520" w:lineRule="exact"/>
              <w:jc w:val="center"/>
              <w:rPr>
                <w:rFonts w:hint="default" w:ascii="Times New Roman" w:hAnsi="Times New Roman" w:eastAsia="宋体" w:cs="Times New Roman"/>
                <w:color w:val="000000"/>
                <w:sz w:val="21"/>
                <w:szCs w:val="21"/>
              </w:rPr>
            </w:pPr>
          </w:p>
        </w:tc>
        <w:tc>
          <w:tcPr>
            <w:tcW w:w="386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总游离碱</w:t>
            </w:r>
          </w:p>
        </w:tc>
        <w:tc>
          <w:tcPr>
            <w:tcW w:w="421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QB/T 2623.2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atLeast"/>
        </w:trPr>
        <w:tc>
          <w:tcPr>
            <w:tcW w:w="1479" w:type="dxa"/>
            <w:vMerge w:val="continue"/>
            <w:vAlign w:val="center"/>
          </w:tcPr>
          <w:p>
            <w:pPr>
              <w:spacing w:beforeAutospacing="0" w:afterAutospacing="0" w:line="520" w:lineRule="exact"/>
              <w:jc w:val="center"/>
              <w:rPr>
                <w:rFonts w:hint="default" w:ascii="Times New Roman" w:hAnsi="Times New Roman" w:eastAsia="宋体" w:cs="Times New Roman"/>
                <w:color w:val="000000"/>
                <w:sz w:val="21"/>
                <w:szCs w:val="21"/>
              </w:rPr>
            </w:pPr>
          </w:p>
        </w:tc>
        <w:tc>
          <w:tcPr>
            <w:tcW w:w="386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干钠皂</w:t>
            </w:r>
          </w:p>
        </w:tc>
        <w:tc>
          <w:tcPr>
            <w:tcW w:w="421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QB/T 2623.3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atLeast"/>
        </w:trPr>
        <w:tc>
          <w:tcPr>
            <w:tcW w:w="1479" w:type="dxa"/>
            <w:vMerge w:val="continue"/>
            <w:vAlign w:val="center"/>
          </w:tcPr>
          <w:p>
            <w:pPr>
              <w:spacing w:beforeAutospacing="0" w:afterAutospacing="0" w:line="520" w:lineRule="exact"/>
              <w:jc w:val="center"/>
              <w:rPr>
                <w:rFonts w:hint="default" w:ascii="Times New Roman" w:hAnsi="Times New Roman" w:eastAsia="宋体" w:cs="Times New Roman"/>
                <w:color w:val="000000"/>
                <w:sz w:val="21"/>
                <w:szCs w:val="21"/>
              </w:rPr>
            </w:pPr>
          </w:p>
        </w:tc>
        <w:tc>
          <w:tcPr>
            <w:tcW w:w="386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水分和挥发物</w:t>
            </w:r>
          </w:p>
        </w:tc>
        <w:tc>
          <w:tcPr>
            <w:tcW w:w="421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QB/T 2623.4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atLeast"/>
        </w:trPr>
        <w:tc>
          <w:tcPr>
            <w:tcW w:w="1479" w:type="dxa"/>
            <w:vMerge w:val="continue"/>
            <w:vAlign w:val="center"/>
          </w:tcPr>
          <w:p>
            <w:pPr>
              <w:spacing w:beforeAutospacing="0" w:afterAutospacing="0" w:line="520" w:lineRule="exact"/>
              <w:jc w:val="center"/>
              <w:rPr>
                <w:rFonts w:hint="default" w:ascii="Times New Roman" w:hAnsi="Times New Roman" w:eastAsia="宋体" w:cs="Times New Roman"/>
                <w:color w:val="000000"/>
                <w:sz w:val="21"/>
                <w:szCs w:val="21"/>
              </w:rPr>
            </w:pPr>
          </w:p>
        </w:tc>
        <w:tc>
          <w:tcPr>
            <w:tcW w:w="386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氯化物</w:t>
            </w:r>
          </w:p>
        </w:tc>
        <w:tc>
          <w:tcPr>
            <w:tcW w:w="421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QB/T 2623.6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1" w:hRule="atLeast"/>
        </w:trPr>
        <w:tc>
          <w:tcPr>
            <w:tcW w:w="1479" w:type="dxa"/>
            <w:vMerge w:val="continue"/>
            <w:vAlign w:val="center"/>
          </w:tcPr>
          <w:p>
            <w:pPr>
              <w:spacing w:beforeAutospacing="0" w:afterAutospacing="0" w:line="520" w:lineRule="exact"/>
              <w:jc w:val="center"/>
              <w:rPr>
                <w:rFonts w:hint="default" w:ascii="Times New Roman" w:hAnsi="Times New Roman" w:eastAsia="宋体" w:cs="Times New Roman"/>
                <w:color w:val="000000"/>
                <w:sz w:val="21"/>
                <w:szCs w:val="21"/>
              </w:rPr>
            </w:pPr>
          </w:p>
        </w:tc>
        <w:tc>
          <w:tcPr>
            <w:tcW w:w="386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总五氧化二磷</w:t>
            </w:r>
          </w:p>
        </w:tc>
        <w:tc>
          <w:tcPr>
            <w:tcW w:w="4215" w:type="dxa"/>
            <w:vAlign w:val="center"/>
          </w:tcPr>
          <w:p>
            <w:pPr>
              <w:snapToGrid w:val="0"/>
              <w:spacing w:beforeAutospacing="0" w:afterAutospacing="0" w:line="28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QB/T 2623.8</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sz w:val="21"/>
          <w:szCs w:val="21"/>
          <w:lang w:val="en-US" w:eastAsia="zh-CN"/>
        </w:rPr>
      </w:pPr>
      <w:r>
        <w:rPr>
          <w:rFonts w:hint="default" w:ascii="Times New Roman" w:hAnsi="Times New Roman" w:eastAsia="宋体" w:cs="Times New Roman"/>
          <w:b w:val="0"/>
          <w:bCs w:val="0"/>
          <w:sz w:val="21"/>
          <w:szCs w:val="21"/>
        </w:rPr>
        <w:t>注：执行企业标准、团体标准、地方标准的产品，检验项目参照上述内容执行。凡是注日期的文件，其随后所有的修改单（不包括勘误的内容）或修订版不适用于本细则。凡是不注日期的文件，其最新版本适用于本细则。</w:t>
      </w:r>
    </w:p>
    <w:p>
      <w:pPr>
        <w:jc w:val="both"/>
        <w:rPr>
          <w:rFonts w:hint="default" w:ascii="Times New Roman" w:hAnsi="Times New Roman" w:eastAsia="黑体" w:cs="Times New Roman"/>
          <w:b w:val="0"/>
          <w:bCs w:val="0"/>
          <w:sz w:val="21"/>
          <w:szCs w:val="21"/>
          <w:lang w:val="en-US" w:eastAsia="zh-CN"/>
        </w:rPr>
      </w:pPr>
    </w:p>
    <w:p>
      <w:pPr>
        <w:jc w:val="both"/>
        <w:rPr>
          <w:rFonts w:hint="eastAsia" w:cs="Times New Roman" w:eastAsiaTheme="majorEastAsia"/>
          <w:sz w:val="21"/>
          <w:szCs w:val="21"/>
          <w:lang w:val="en-US" w:eastAsia="zh-CN"/>
        </w:rPr>
      </w:pPr>
      <w:r>
        <w:rPr>
          <w:rFonts w:hint="default" w:ascii="Times New Roman" w:hAnsi="Times New Roman" w:eastAsia="黑体" w:cs="Times New Roman"/>
          <w:b w:val="0"/>
          <w:bCs w:val="0"/>
          <w:sz w:val="21"/>
          <w:szCs w:val="21"/>
          <w:lang w:val="en-US" w:eastAsia="zh-CN"/>
        </w:rPr>
        <w:t>3判定规则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eastAsiaTheme="majorEastAsia"/>
          <w:sz w:val="21"/>
          <w:szCs w:val="21"/>
          <w:lang w:eastAsia="zh-CN"/>
        </w:rPr>
      </w:pPr>
      <w:r>
        <w:rPr>
          <w:rFonts w:hint="eastAsia" w:cs="Times New Roman" w:eastAsiaTheme="majorEastAsia"/>
          <w:sz w:val="21"/>
          <w:szCs w:val="21"/>
          <w:lang w:val="en-US" w:eastAsia="zh-CN"/>
        </w:rPr>
        <w:t>3.1</w:t>
      </w:r>
      <w:r>
        <w:rPr>
          <w:rFonts w:hint="default" w:ascii="Times New Roman" w:hAnsi="Times New Roman" w:cs="Times New Roman" w:eastAsiaTheme="majorEastAsia"/>
          <w:sz w:val="21"/>
          <w:szCs w:val="21"/>
          <w:lang w:eastAsia="zh-CN"/>
        </w:rPr>
        <w:t>依据标准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香皂</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QB/T 2485-2023</w:t>
      </w:r>
      <w:r>
        <w:rPr>
          <w:rFonts w:hint="eastAsia" w:cs="Times New Roman" w:eastAsiaTheme="minorEastAsia"/>
          <w:sz w:val="21"/>
          <w:szCs w:val="21"/>
          <w:lang w:val="en-US" w:eastAsia="zh-CN"/>
        </w:rPr>
        <w:t>、</w:t>
      </w:r>
      <w:r>
        <w:rPr>
          <w:rFonts w:hint="default" w:ascii="Times New Roman" w:hAnsi="Times New Roman" w:cs="Times New Roman" w:eastAsiaTheme="minorEastAsia"/>
          <w:sz w:val="21"/>
          <w:szCs w:val="21"/>
        </w:rPr>
        <w:t>现行有效的企业标准</w:t>
      </w:r>
      <w:r>
        <w:rPr>
          <w:rFonts w:hint="default" w:ascii="Times New Roman" w:hAnsi="Times New Roman" w:cs="Times New Roman" w:eastAsiaTheme="minorEastAsia"/>
          <w:color w:val="000000"/>
          <w:sz w:val="21"/>
          <w:szCs w:val="21"/>
          <w:lang w:eastAsia="zh-CN"/>
        </w:rPr>
        <w:t>或</w:t>
      </w:r>
      <w:r>
        <w:rPr>
          <w:rFonts w:hint="default" w:ascii="Times New Roman" w:hAnsi="Times New Roman" w:cs="Times New Roman" w:eastAsiaTheme="minorEastAsia"/>
          <w:sz w:val="21"/>
          <w:szCs w:val="21"/>
        </w:rPr>
        <w:t>产品明示质量要求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3.2</w:t>
      </w:r>
      <w:r>
        <w:rPr>
          <w:rFonts w:hint="default" w:ascii="Times New Roman" w:hAnsi="Times New Roman" w:cs="Times New Roman" w:eastAsiaTheme="minorEastAsia"/>
          <w:sz w:val="21"/>
          <w:szCs w:val="21"/>
          <w:lang w:val="en-US" w:eastAsia="zh-CN"/>
        </w:rPr>
        <w:t>判定原则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经检验，检验项目全部合格，判定被抽查产品所检项目未发现不合格；检验</w:t>
      </w:r>
      <w:r>
        <w:rPr>
          <w:rFonts w:hint="eastAsia" w:cs="Times New Roman" w:eastAsiaTheme="minorEastAsia"/>
          <w:sz w:val="21"/>
          <w:szCs w:val="21"/>
          <w:lang w:val="en-US" w:eastAsia="zh-CN"/>
        </w:rPr>
        <w:t>不合格项目≥1的</w:t>
      </w:r>
      <w:r>
        <w:rPr>
          <w:rFonts w:hint="default" w:ascii="Times New Roman" w:hAnsi="Times New Roman" w:cs="Times New Roman" w:eastAsiaTheme="minorEastAsia"/>
          <w:sz w:val="21"/>
          <w:szCs w:val="21"/>
          <w:lang w:val="en-US" w:eastAsia="zh-CN"/>
        </w:rPr>
        <w:t>， 判定被抽查产品不合格。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若被检产品明示的质量要求缺少本细则中检验项目依据的推荐性标准要求时，该项目不参与判定。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黑体" w:hAnsi="黑体" w:eastAsia="黑体" w:cs="黑体"/>
          <w:b w:val="0"/>
          <w:bCs w:val="0"/>
          <w:color w:val="000000"/>
          <w:sz w:val="21"/>
          <w:szCs w:val="21"/>
          <w:lang w:val="en-US" w:eastAsia="zh-CN"/>
        </w:rPr>
      </w:pPr>
      <w:r>
        <w:rPr>
          <w:rFonts w:hint="eastAsia" w:ascii="黑体" w:hAnsi="黑体" w:eastAsia="黑体" w:cs="黑体"/>
          <w:b w:val="0"/>
          <w:bCs w:val="0"/>
          <w:color w:val="000000"/>
          <w:sz w:val="21"/>
          <w:szCs w:val="21"/>
          <w:lang w:val="en-US" w:eastAsia="zh-CN"/>
        </w:rPr>
        <w:t>4 异议处理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4.1对监督抽查程序有异议的，由市市场监督管理局核查相关证据后维持或者撤销原检验结果。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4.2对检验结果有异议的，市市场监督管理局核查相关证据，能够证明原检验结果准确的，维持原检验结果；不能证明原检验结果准确需要进行复检的，由其指定复检机构进行复检，复检结果为本次监督抽查最终结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4.3对样品信息有异议的，市市场监督管理局核查样品确认情况和被抽样单位提交证明材料后，维持或者撤销原检验结果。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小标宋简体" w:cs="Times New Roman" w:asciiTheme="minorHAnsi" w:hAnsiTheme="minorHAnsi"/>
          <w:color w:val="000000"/>
          <w:sz w:val="32"/>
          <w:szCs w:val="32"/>
          <w:lang w:eastAsia="zh-CN"/>
        </w:rPr>
      </w:pPr>
      <w:r>
        <w:rPr>
          <w:rFonts w:hint="eastAsia" w:eastAsia="方正小标宋简体" w:cs="Times New Roman"/>
          <w:color w:val="000000"/>
          <w:sz w:val="32"/>
          <w:szCs w:val="32"/>
          <w:lang w:val="en-US" w:eastAsia="zh-CN"/>
        </w:rPr>
        <w:t>洗手液</w:t>
      </w:r>
      <w:r>
        <w:rPr>
          <w:rFonts w:hint="eastAsia" w:eastAsia="方正小标宋简体" w:cs="Times New Roman" w:asciiTheme="minorHAnsi" w:hAnsiTheme="minorHAnsi"/>
          <w:color w:val="000000"/>
          <w:sz w:val="32"/>
          <w:szCs w:val="32"/>
          <w:lang w:val="en-US" w:eastAsia="zh-CN"/>
        </w:rPr>
        <w:t>产品</w:t>
      </w:r>
      <w:r>
        <w:rPr>
          <w:rFonts w:hint="eastAsia" w:eastAsia="方正小标宋简体" w:cs="Times New Roman" w:asciiTheme="minorHAnsi" w:hAnsiTheme="minorHAnsi"/>
          <w:color w:val="000000"/>
          <w:sz w:val="32"/>
          <w:szCs w:val="32"/>
        </w:rPr>
        <w:t>廊坊市质量监督抽查</w:t>
      </w:r>
      <w:r>
        <w:rPr>
          <w:rFonts w:hint="eastAsia" w:eastAsia="方正小标宋简体" w:cs="Times New Roman" w:asciiTheme="minorHAnsi" w:hAnsiTheme="minorHAnsi"/>
          <w:color w:val="000000"/>
          <w:sz w:val="32"/>
          <w:szCs w:val="32"/>
          <w:lang w:eastAsia="zh-CN"/>
        </w:rPr>
        <w:t>实施细则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小标宋简体" w:asciiTheme="minorHAnsi" w:hAnsiTheme="minorHAnsi"/>
          <w:color w:val="000000"/>
          <w:sz w:val="32"/>
          <w:szCs w:val="32"/>
        </w:rPr>
      </w:pPr>
      <w:r>
        <w:rPr>
          <w:rFonts w:eastAsia="方正小标宋简体" w:asciiTheme="minorHAnsi" w:hAnsiTheme="minorHAnsi"/>
          <w:color w:val="000000"/>
          <w:sz w:val="32"/>
          <w:szCs w:val="32"/>
        </w:rPr>
        <w:t>（202</w:t>
      </w:r>
      <w:r>
        <w:rPr>
          <w:rFonts w:hint="eastAsia" w:eastAsia="方正小标宋简体" w:asciiTheme="minorHAnsi" w:hAnsiTheme="minorHAnsi"/>
          <w:color w:val="000000"/>
          <w:sz w:val="32"/>
          <w:szCs w:val="32"/>
          <w:lang w:val="en-US" w:eastAsia="zh-CN"/>
        </w:rPr>
        <w:t>4</w:t>
      </w:r>
      <w:r>
        <w:rPr>
          <w:rFonts w:eastAsia="方正小标宋简体" w:asciiTheme="minorHAnsi" w:hAnsiTheme="minorHAnsi"/>
          <w:color w:val="000000"/>
          <w:sz w:val="32"/>
          <w:szCs w:val="32"/>
        </w:rPr>
        <w:t>年版）</w:t>
      </w:r>
    </w:p>
    <w:p>
      <w:pPr>
        <w:keepNext w:val="0"/>
        <w:keepLines w:val="0"/>
        <w:pageBreakBefore w:val="0"/>
        <w:widowControl w:val="0"/>
        <w:kinsoku/>
        <w:wordWrap/>
        <w:overflowPunct/>
        <w:topLinePunct w:val="0"/>
        <w:autoSpaceDE/>
        <w:autoSpaceDN/>
        <w:bidi w:val="0"/>
        <w:spacing w:beforeAutospacing="0" w:afterAutospacing="0" w:line="400" w:lineRule="exact"/>
        <w:textAlignment w:val="auto"/>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val="en-US" w:eastAsia="zh-CN"/>
        </w:rPr>
        <w:t>1</w:t>
      </w:r>
      <w:r>
        <w:rPr>
          <w:rFonts w:hint="default" w:ascii="Times New Roman" w:hAnsi="Times New Roman" w:eastAsia="黑体" w:cs="Times New Roman"/>
          <w:b w:val="0"/>
          <w:bCs w:val="0"/>
          <w:sz w:val="21"/>
          <w:szCs w:val="21"/>
          <w:lang w:eastAsia="zh-CN"/>
        </w:rPr>
        <w:t>抽样方法</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以随机抽样的方式抽取样品，随机数一般可使用投骰子或随机数表等方法产生。</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产品</w:t>
      </w:r>
      <w:r>
        <w:rPr>
          <w:rFonts w:hint="eastAsia" w:ascii="宋体" w:hAnsi="宋体" w:cs="宋体"/>
          <w:color w:val="auto"/>
          <w:szCs w:val="21"/>
          <w:lang w:eastAsia="zh-CN"/>
        </w:rPr>
        <w:t>净含量</w:t>
      </w:r>
      <w:r>
        <w:rPr>
          <w:rFonts w:hint="eastAsia" w:ascii="宋体" w:hAnsi="宋体" w:cs="宋体"/>
          <w:color w:val="auto"/>
          <w:szCs w:val="21"/>
          <w:lang w:val="en-US" w:eastAsia="zh-CN"/>
        </w:rPr>
        <w:t>不大于100g的，抽取10瓶，其中检验样品6瓶，备用样品4瓶；产品</w:t>
      </w:r>
      <w:r>
        <w:rPr>
          <w:rFonts w:hint="eastAsia" w:ascii="宋体" w:hAnsi="宋体" w:cs="宋体"/>
          <w:color w:val="auto"/>
          <w:szCs w:val="21"/>
          <w:lang w:eastAsia="zh-CN"/>
        </w:rPr>
        <w:t>净含量大于</w:t>
      </w:r>
      <w:r>
        <w:rPr>
          <w:rFonts w:hint="eastAsia" w:ascii="宋体" w:hAnsi="宋体" w:cs="宋体"/>
          <w:color w:val="auto"/>
          <w:szCs w:val="21"/>
          <w:lang w:val="en-US" w:eastAsia="zh-CN"/>
        </w:rPr>
        <w:t>100g的，抽取8瓶，其中检验样品5瓶，备用样品3瓶。</w:t>
      </w:r>
    </w:p>
    <w:p>
      <w:pPr>
        <w:jc w:val="left"/>
        <w:rPr>
          <w:rFonts w:hint="eastAsia" w:ascii="仿宋_GB2312" w:hAnsi="仿宋_GB2312" w:eastAsia="仿宋_GB2312"/>
          <w:b/>
          <w:bCs/>
          <w:sz w:val="28"/>
          <w:szCs w:val="28"/>
          <w:lang w:val="en-US" w:eastAsia="zh-CN"/>
        </w:rPr>
      </w:pPr>
    </w:p>
    <w:p>
      <w:pPr>
        <w:jc w:val="left"/>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2检验依据</w:t>
      </w:r>
    </w:p>
    <w:p>
      <w:pPr>
        <w:jc w:val="left"/>
        <w:rPr>
          <w:rFonts w:hint="default" w:ascii="Times New Roman" w:hAnsi="Times New Roman" w:eastAsia="黑体" w:cs="Times New Roman"/>
          <w:b w:val="0"/>
          <w:bCs w:val="0"/>
          <w:sz w:val="21"/>
          <w:szCs w:val="21"/>
          <w:lang w:val="en-US" w:eastAsia="zh-CN"/>
        </w:rPr>
      </w:pPr>
    </w:p>
    <w:tbl>
      <w:tblPr>
        <w:tblStyle w:val="2"/>
        <w:tblpPr w:leftFromText="180" w:rightFromText="180" w:vertAnchor="text" w:horzAnchor="page" w:tblpX="1516" w:tblpY="4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9"/>
        <w:gridCol w:w="2874"/>
        <w:gridCol w:w="4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89" w:type="dxa"/>
            <w:vAlign w:val="center"/>
          </w:tcPr>
          <w:p>
            <w:pPr>
              <w:keepNext w:val="0"/>
              <w:keepLines w:val="0"/>
              <w:pageBreakBefore w:val="0"/>
              <w:kinsoku/>
              <w:overflowPunct/>
              <w:topLinePunct w:val="0"/>
              <w:bidi w:val="0"/>
              <w:snapToGrid w:val="0"/>
              <w:spacing w:beforeAutospacing="0" w:afterAutospacing="0" w:line="240" w:lineRule="atLeast"/>
              <w:jc w:val="center"/>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名称</w:t>
            </w:r>
          </w:p>
        </w:tc>
        <w:tc>
          <w:tcPr>
            <w:tcW w:w="2874" w:type="dxa"/>
            <w:vAlign w:val="center"/>
          </w:tcPr>
          <w:p>
            <w:pPr>
              <w:keepNext w:val="0"/>
              <w:keepLines w:val="0"/>
              <w:pageBreakBefore w:val="0"/>
              <w:kinsoku/>
              <w:overflowPunct/>
              <w:topLinePunct w:val="0"/>
              <w:bidi w:val="0"/>
              <w:snapToGrid w:val="0"/>
              <w:spacing w:beforeAutospacing="0" w:afterAutospacing="0" w:line="240" w:lineRule="atLeast"/>
              <w:jc w:val="center"/>
              <w:rPr>
                <w:rFonts w:ascii="Times New Roman" w:hAnsi="Times New Roman" w:eastAsia="宋体"/>
                <w:color w:val="000000"/>
                <w:sz w:val="21"/>
                <w:szCs w:val="21"/>
              </w:rPr>
            </w:pPr>
            <w:r>
              <w:rPr>
                <w:rFonts w:ascii="Times New Roman" w:hAnsi="Times New Roman" w:eastAsia="宋体"/>
                <w:color w:val="000000"/>
                <w:sz w:val="21"/>
                <w:szCs w:val="21"/>
              </w:rPr>
              <w:t>检验项目</w:t>
            </w:r>
          </w:p>
        </w:tc>
        <w:tc>
          <w:tcPr>
            <w:tcW w:w="4920" w:type="dxa"/>
            <w:vAlign w:val="center"/>
          </w:tcPr>
          <w:p>
            <w:pPr>
              <w:keepNext w:val="0"/>
              <w:keepLines w:val="0"/>
              <w:pageBreakBefore w:val="0"/>
              <w:kinsoku/>
              <w:overflowPunct/>
              <w:topLinePunct w:val="0"/>
              <w:bidi w:val="0"/>
              <w:snapToGrid w:val="0"/>
              <w:spacing w:beforeAutospacing="0" w:afterAutospacing="0" w:line="240" w:lineRule="atLeast"/>
              <w:jc w:val="center"/>
              <w:rPr>
                <w:rFonts w:ascii="Times New Roman" w:hAnsi="Times New Roman" w:eastAsia="宋体"/>
                <w:color w:val="000000"/>
                <w:sz w:val="21"/>
                <w:szCs w:val="21"/>
              </w:rPr>
            </w:pPr>
            <w:r>
              <w:rPr>
                <w:rFonts w:hint="eastAsia" w:cs="Times New Roman"/>
                <w:sz w:val="21"/>
                <w:szCs w:val="21"/>
                <w:lang w:val="en-US"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89" w:type="dxa"/>
            <w:vMerge w:val="restart"/>
            <w:vAlign w:val="center"/>
          </w:tcPr>
          <w:p>
            <w:pPr>
              <w:keepNext w:val="0"/>
              <w:keepLines w:val="0"/>
              <w:pageBreakBefore w:val="0"/>
              <w:kinsoku/>
              <w:overflowPunct/>
              <w:topLinePunct w:val="0"/>
              <w:bidi w:val="0"/>
              <w:spacing w:beforeAutospacing="0" w:afterAutospacing="0" w:line="240" w:lineRule="atLeast"/>
              <w:jc w:val="center"/>
              <w:rPr>
                <w:rFonts w:ascii="Times New Roman" w:hAnsi="Times New Roman" w:eastAsia="宋体"/>
                <w:b/>
                <w:bCs/>
                <w:sz w:val="21"/>
                <w:szCs w:val="21"/>
                <w:lang w:eastAsia="zh-CN"/>
              </w:rPr>
            </w:pPr>
            <w:r>
              <w:rPr>
                <w:rFonts w:ascii="Times New Roman" w:hAnsi="Times New Roman" w:eastAsia="宋体"/>
                <w:b/>
                <w:bCs/>
                <w:sz w:val="21"/>
                <w:szCs w:val="21"/>
                <w:lang w:eastAsia="zh-CN"/>
              </w:rPr>
              <w:t>洗手</w:t>
            </w:r>
            <w:r>
              <w:rPr>
                <w:rFonts w:ascii="Times New Roman" w:hAnsi="Times New Roman" w:eastAsia="宋体"/>
                <w:b/>
                <w:bCs/>
                <w:sz w:val="21"/>
                <w:szCs w:val="21"/>
              </w:rPr>
              <w:t>液</w:t>
            </w:r>
          </w:p>
        </w:tc>
        <w:tc>
          <w:tcPr>
            <w:tcW w:w="2874" w:type="dxa"/>
            <w:vAlign w:val="center"/>
          </w:tcPr>
          <w:p>
            <w:pPr>
              <w:keepNext w:val="0"/>
              <w:keepLines w:val="0"/>
              <w:pageBreakBefore w:val="0"/>
              <w:kinsoku/>
              <w:overflowPunct/>
              <w:topLinePunct w:val="0"/>
              <w:bidi w:val="0"/>
              <w:snapToGrid w:val="0"/>
              <w:spacing w:beforeAutospacing="0" w:afterAutospacing="0" w:line="240" w:lineRule="atLeas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总有效物</w:t>
            </w:r>
          </w:p>
        </w:tc>
        <w:tc>
          <w:tcPr>
            <w:tcW w:w="4920" w:type="dxa"/>
            <w:vAlign w:val="center"/>
          </w:tcPr>
          <w:p>
            <w:pPr>
              <w:snapToGrid w:val="0"/>
              <w:spacing w:beforeAutospacing="0" w:afterAutospacing="0" w:line="300" w:lineRule="exact"/>
              <w:jc w:val="center"/>
              <w:rPr>
                <w:rFonts w:hint="default" w:ascii="Times New Roman" w:hAnsi="Times New Roman" w:eastAsia="宋体" w:cs="Times New Roman"/>
                <w:sz w:val="21"/>
                <w:szCs w:val="21"/>
              </w:rPr>
            </w:pPr>
            <w:r>
              <w:rPr>
                <w:rFonts w:hint="eastAsia" w:cs="Times New Roman"/>
                <w:sz w:val="21"/>
                <w:szCs w:val="21"/>
                <w:lang w:val="en-US" w:eastAsia="zh-CN"/>
              </w:rPr>
              <w:t xml:space="preserve"> </w:t>
            </w:r>
            <w:r>
              <w:rPr>
                <w:rFonts w:hint="default" w:ascii="Times New Roman" w:hAnsi="Times New Roman" w:eastAsia="宋体" w:cs="Times New Roman"/>
                <w:sz w:val="21"/>
                <w:szCs w:val="21"/>
              </w:rPr>
              <w:t>GB/T 13173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89" w:type="dxa"/>
            <w:vMerge w:val="continue"/>
            <w:vAlign w:val="center"/>
          </w:tcPr>
          <w:p>
            <w:pPr>
              <w:keepNext w:val="0"/>
              <w:keepLines w:val="0"/>
              <w:pageBreakBefore w:val="0"/>
              <w:tabs>
                <w:tab w:val="left" w:pos="492"/>
              </w:tabs>
              <w:kinsoku/>
              <w:overflowPunct/>
              <w:topLinePunct w:val="0"/>
              <w:bidi w:val="0"/>
              <w:spacing w:beforeAutospacing="0" w:afterAutospacing="0" w:line="240" w:lineRule="atLeast"/>
              <w:jc w:val="center"/>
              <w:rPr>
                <w:rFonts w:ascii="Times New Roman" w:hAnsi="Times New Roman" w:eastAsia="宋体"/>
                <w:color w:val="000000"/>
                <w:sz w:val="21"/>
                <w:szCs w:val="21"/>
              </w:rPr>
            </w:pPr>
          </w:p>
        </w:tc>
        <w:tc>
          <w:tcPr>
            <w:tcW w:w="2874" w:type="dxa"/>
            <w:vAlign w:val="center"/>
          </w:tcPr>
          <w:p>
            <w:pPr>
              <w:keepNext w:val="0"/>
              <w:keepLines w:val="0"/>
              <w:pageBreakBefore w:val="0"/>
              <w:kinsoku/>
              <w:overflowPunct/>
              <w:topLinePunct w:val="0"/>
              <w:bidi w:val="0"/>
              <w:snapToGrid w:val="0"/>
              <w:spacing w:beforeAutospacing="0" w:afterAutospacing="0" w:line="240" w:lineRule="atLeast"/>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pH(25℃)</w:t>
            </w:r>
          </w:p>
        </w:tc>
        <w:tc>
          <w:tcPr>
            <w:tcW w:w="4920" w:type="dxa"/>
            <w:vAlign w:val="center"/>
          </w:tcPr>
          <w:p>
            <w:pPr>
              <w:snapToGrid w:val="0"/>
              <w:spacing w:beforeAutospacing="0" w:afterAutospacing="0" w:line="300" w:lineRule="exact"/>
              <w:jc w:val="center"/>
              <w:rPr>
                <w:rFonts w:hint="default" w:ascii="Times New Roman" w:hAnsi="Times New Roman" w:eastAsia="宋体" w:cs="Times New Roman"/>
                <w:sz w:val="21"/>
                <w:szCs w:val="21"/>
              </w:rPr>
            </w:pPr>
            <w:r>
              <w:rPr>
                <w:rFonts w:hint="default" w:ascii="Times New Roman" w:hAnsi="Times New Roman" w:cs="Times New Roman"/>
                <w:szCs w:val="21"/>
              </w:rPr>
              <w:t>GB/T 6368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89" w:type="dxa"/>
            <w:vMerge w:val="continue"/>
            <w:vAlign w:val="center"/>
          </w:tcPr>
          <w:p>
            <w:pPr>
              <w:keepNext w:val="0"/>
              <w:keepLines w:val="0"/>
              <w:pageBreakBefore w:val="0"/>
              <w:kinsoku/>
              <w:overflowPunct/>
              <w:topLinePunct w:val="0"/>
              <w:bidi w:val="0"/>
              <w:spacing w:beforeAutospacing="0" w:afterAutospacing="0" w:line="240" w:lineRule="atLeast"/>
              <w:jc w:val="center"/>
              <w:rPr>
                <w:rFonts w:ascii="Times New Roman" w:hAnsi="Times New Roman" w:eastAsia="宋体"/>
                <w:color w:val="000000"/>
                <w:sz w:val="21"/>
                <w:szCs w:val="21"/>
              </w:rPr>
            </w:pPr>
          </w:p>
        </w:tc>
        <w:tc>
          <w:tcPr>
            <w:tcW w:w="2874" w:type="dxa"/>
            <w:vAlign w:val="center"/>
          </w:tcPr>
          <w:p>
            <w:pPr>
              <w:keepNext w:val="0"/>
              <w:keepLines w:val="0"/>
              <w:pageBreakBefore w:val="0"/>
              <w:kinsoku/>
              <w:overflowPunct/>
              <w:topLinePunct w:val="0"/>
              <w:bidi w:val="0"/>
              <w:snapToGrid w:val="0"/>
              <w:spacing w:beforeAutospacing="0" w:afterAutospacing="0" w:line="240" w:lineRule="atLeast"/>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稳定性</w:t>
            </w:r>
          </w:p>
        </w:tc>
        <w:tc>
          <w:tcPr>
            <w:tcW w:w="4920" w:type="dxa"/>
            <w:vAlign w:val="top"/>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QB/T 2654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89" w:type="dxa"/>
            <w:vMerge w:val="continue"/>
            <w:vAlign w:val="center"/>
          </w:tcPr>
          <w:p>
            <w:pPr>
              <w:keepNext w:val="0"/>
              <w:keepLines w:val="0"/>
              <w:pageBreakBefore w:val="0"/>
              <w:kinsoku/>
              <w:overflowPunct/>
              <w:topLinePunct w:val="0"/>
              <w:bidi w:val="0"/>
              <w:spacing w:beforeAutospacing="0" w:afterAutospacing="0" w:line="240" w:lineRule="atLeast"/>
              <w:jc w:val="center"/>
              <w:rPr>
                <w:rFonts w:ascii="Times New Roman" w:hAnsi="Times New Roman" w:eastAsia="宋体"/>
                <w:color w:val="000000"/>
                <w:sz w:val="21"/>
                <w:szCs w:val="21"/>
              </w:rPr>
            </w:pPr>
          </w:p>
        </w:tc>
        <w:tc>
          <w:tcPr>
            <w:tcW w:w="2874" w:type="dxa"/>
            <w:vAlign w:val="center"/>
          </w:tcPr>
          <w:p>
            <w:pPr>
              <w:keepNext w:val="0"/>
              <w:keepLines w:val="0"/>
              <w:pageBreakBefore w:val="0"/>
              <w:kinsoku/>
              <w:overflowPunct/>
              <w:topLinePunct w:val="0"/>
              <w:bidi w:val="0"/>
              <w:snapToGrid w:val="0"/>
              <w:spacing w:beforeAutospacing="0" w:afterAutospacing="0" w:line="240" w:lineRule="atLeast"/>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汞</w:t>
            </w:r>
          </w:p>
        </w:tc>
        <w:tc>
          <w:tcPr>
            <w:tcW w:w="4920" w:type="dxa"/>
            <w:vMerge w:val="restart"/>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化妆品安全技术规范（2015年版）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89" w:type="dxa"/>
            <w:vMerge w:val="continue"/>
            <w:vAlign w:val="center"/>
          </w:tcPr>
          <w:p>
            <w:pPr>
              <w:keepNext w:val="0"/>
              <w:keepLines w:val="0"/>
              <w:pageBreakBefore w:val="0"/>
              <w:kinsoku/>
              <w:overflowPunct/>
              <w:topLinePunct w:val="0"/>
              <w:bidi w:val="0"/>
              <w:spacing w:beforeAutospacing="0" w:afterAutospacing="0" w:line="240" w:lineRule="atLeast"/>
              <w:jc w:val="center"/>
              <w:rPr>
                <w:rFonts w:ascii="Times New Roman" w:hAnsi="Times New Roman" w:eastAsia="宋体"/>
                <w:color w:val="000000"/>
                <w:sz w:val="21"/>
                <w:szCs w:val="21"/>
              </w:rPr>
            </w:pPr>
          </w:p>
        </w:tc>
        <w:tc>
          <w:tcPr>
            <w:tcW w:w="2874" w:type="dxa"/>
            <w:vAlign w:val="center"/>
          </w:tcPr>
          <w:p>
            <w:pPr>
              <w:keepNext w:val="0"/>
              <w:keepLines w:val="0"/>
              <w:pageBreakBefore w:val="0"/>
              <w:kinsoku/>
              <w:overflowPunct/>
              <w:topLinePunct w:val="0"/>
              <w:bidi w:val="0"/>
              <w:snapToGrid w:val="0"/>
              <w:spacing w:beforeAutospacing="0" w:afterAutospacing="0" w:line="240" w:lineRule="atLeast"/>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铅</w:t>
            </w:r>
          </w:p>
        </w:tc>
        <w:tc>
          <w:tcPr>
            <w:tcW w:w="4920" w:type="dxa"/>
            <w:vMerge w:val="continue"/>
            <w:vAlign w:val="top"/>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89" w:type="dxa"/>
            <w:vMerge w:val="continue"/>
            <w:vAlign w:val="center"/>
          </w:tcPr>
          <w:p>
            <w:pPr>
              <w:keepNext w:val="0"/>
              <w:keepLines w:val="0"/>
              <w:pageBreakBefore w:val="0"/>
              <w:kinsoku/>
              <w:overflowPunct/>
              <w:topLinePunct w:val="0"/>
              <w:bidi w:val="0"/>
              <w:spacing w:beforeAutospacing="0" w:afterAutospacing="0" w:line="240" w:lineRule="atLeast"/>
              <w:jc w:val="center"/>
              <w:rPr>
                <w:rFonts w:ascii="Times New Roman" w:hAnsi="Times New Roman" w:eastAsia="宋体"/>
                <w:color w:val="000000"/>
                <w:sz w:val="21"/>
                <w:szCs w:val="21"/>
              </w:rPr>
            </w:pPr>
          </w:p>
        </w:tc>
        <w:tc>
          <w:tcPr>
            <w:tcW w:w="2874" w:type="dxa"/>
            <w:vAlign w:val="center"/>
          </w:tcPr>
          <w:p>
            <w:pPr>
              <w:keepNext w:val="0"/>
              <w:keepLines w:val="0"/>
              <w:pageBreakBefore w:val="0"/>
              <w:kinsoku/>
              <w:overflowPunct/>
              <w:topLinePunct w:val="0"/>
              <w:bidi w:val="0"/>
              <w:snapToGrid w:val="0"/>
              <w:spacing w:beforeAutospacing="0" w:afterAutospacing="0" w:line="240" w:lineRule="atLeast"/>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砷</w:t>
            </w:r>
          </w:p>
        </w:tc>
        <w:tc>
          <w:tcPr>
            <w:tcW w:w="4920" w:type="dxa"/>
            <w:vMerge w:val="continue"/>
            <w:vAlign w:val="top"/>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89" w:type="dxa"/>
            <w:vMerge w:val="continue"/>
            <w:vAlign w:val="center"/>
          </w:tcPr>
          <w:p>
            <w:pPr>
              <w:keepNext w:val="0"/>
              <w:keepLines w:val="0"/>
              <w:pageBreakBefore w:val="0"/>
              <w:kinsoku/>
              <w:overflowPunct/>
              <w:topLinePunct w:val="0"/>
              <w:bidi w:val="0"/>
              <w:spacing w:beforeAutospacing="0" w:afterAutospacing="0" w:line="240" w:lineRule="atLeast"/>
              <w:jc w:val="center"/>
              <w:rPr>
                <w:rFonts w:ascii="Times New Roman" w:hAnsi="Times New Roman" w:eastAsia="宋体"/>
                <w:color w:val="000000"/>
                <w:sz w:val="21"/>
                <w:szCs w:val="21"/>
              </w:rPr>
            </w:pPr>
          </w:p>
        </w:tc>
        <w:tc>
          <w:tcPr>
            <w:tcW w:w="287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eastAsia="zh-CN"/>
              </w:rPr>
              <w:t>甲醇</w:t>
            </w:r>
          </w:p>
        </w:tc>
        <w:tc>
          <w:tcPr>
            <w:tcW w:w="4920" w:type="dxa"/>
            <w:vMerge w:val="continue"/>
            <w:vAlign w:val="top"/>
          </w:tcPr>
          <w:p>
            <w:pPr>
              <w:keepNext w:val="0"/>
              <w:keepLines w:val="0"/>
              <w:pageBreakBefore w:val="0"/>
              <w:widowControl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宋体" w:cs="Times New Roman"/>
                <w:kern w:val="2"/>
                <w:sz w:val="21"/>
                <w:szCs w:val="21"/>
                <w:lang w:val="en-US" w:eastAsia="zh-CN" w:bidi="ar-SA"/>
              </w:rPr>
            </w:pPr>
          </w:p>
        </w:tc>
      </w:tr>
    </w:tbl>
    <w:p>
      <w:pPr>
        <w:rPr>
          <w:rFonts w:hint="default" w:ascii="Times New Roman" w:hAnsi="Times New Roman" w:eastAsia="宋体" w:cs="Times New Roman"/>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注：执行企业标准、团体标准、地方标准的产品，检验项目参照上述内容执行。凡是注日期的文件，其随后所有的修改单（不包括勘误的内容）或修订版不适用于本细则。凡是不注日期的文件，其最新版本适用于本细则。</w:t>
      </w:r>
    </w:p>
    <w:p>
      <w:pPr>
        <w:jc w:val="both"/>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Times New Roman" w:eastAsiaTheme="minorEastAsia"/>
          <w:sz w:val="21"/>
          <w:szCs w:val="21"/>
          <w:lang w:val="en-US" w:eastAsia="zh-CN"/>
        </w:rPr>
      </w:pPr>
      <w:r>
        <w:rPr>
          <w:rFonts w:hint="default" w:ascii="Times New Roman" w:hAnsi="Times New Roman" w:eastAsia="黑体" w:cs="Times New Roman"/>
          <w:b w:val="0"/>
          <w:bCs w:val="0"/>
          <w:sz w:val="21"/>
          <w:szCs w:val="21"/>
          <w:lang w:val="en-US" w:eastAsia="zh-CN"/>
        </w:rPr>
        <w:t>3判定规则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3.1</w:t>
      </w:r>
      <w:r>
        <w:rPr>
          <w:rFonts w:hint="default" w:ascii="Times New Roman" w:hAnsi="Times New Roman" w:cs="Times New Roman" w:eastAsiaTheme="minorEastAsia"/>
          <w:sz w:val="21"/>
          <w:szCs w:val="21"/>
          <w:lang w:val="en-US" w:eastAsia="zh-CN"/>
        </w:rPr>
        <w:t>检验依据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《特种洗手液》GB 19877.1-2005</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洗手液</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GB/T 34855-2017</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洗手液</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Q</w:t>
      </w:r>
      <w:r>
        <w:rPr>
          <w:rFonts w:hint="default" w:ascii="Times New Roman" w:hAnsi="Times New Roman" w:cs="Times New Roman" w:eastAsiaTheme="minorEastAsia"/>
          <w:sz w:val="21"/>
          <w:szCs w:val="21"/>
        </w:rPr>
        <w:t xml:space="preserve">B/T </w:t>
      </w:r>
      <w:r>
        <w:rPr>
          <w:rFonts w:hint="default" w:ascii="Times New Roman" w:hAnsi="Times New Roman" w:cs="Times New Roman" w:eastAsiaTheme="minorEastAsia"/>
          <w:sz w:val="21"/>
          <w:szCs w:val="21"/>
          <w:lang w:val="en-US" w:eastAsia="zh-CN"/>
        </w:rPr>
        <w:t>2654</w:t>
      </w:r>
      <w:r>
        <w:rPr>
          <w:rFonts w:hint="default" w:ascii="Times New Roman" w:hAnsi="Times New Roman" w:cs="Times New Roman" w:eastAsiaTheme="minorEastAsia"/>
          <w:sz w:val="21"/>
          <w:szCs w:val="21"/>
        </w:rPr>
        <w:t>-201</w:t>
      </w:r>
      <w:r>
        <w:rPr>
          <w:rFonts w:hint="default" w:ascii="Times New Roman" w:hAnsi="Times New Roman" w:cs="Times New Roman" w:eastAsiaTheme="minorEastAsia"/>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现行有效的企业标准或产品明示质量要求</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3.2</w:t>
      </w:r>
      <w:r>
        <w:rPr>
          <w:rFonts w:hint="default" w:ascii="Times New Roman" w:hAnsi="Times New Roman" w:cs="Times New Roman" w:eastAsiaTheme="minorEastAsia"/>
          <w:sz w:val="21"/>
          <w:szCs w:val="21"/>
          <w:lang w:val="en-US" w:eastAsia="zh-CN"/>
        </w:rPr>
        <w:t>判定原则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经检验，检验项目全部合格，判定被抽查产品所检项目未发现不合格；检验项目中任一项或一项以上不合格， 判定被抽查产品不合格。</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p>
    <w:p>
      <w:pPr>
        <w:rPr>
          <w:rFonts w:hint="default" w:ascii="Times New Roman" w:hAnsi="Times New Roman" w:cs="Times New Roman" w:eastAsiaTheme="minorEastAsia"/>
          <w:sz w:val="21"/>
          <w:szCs w:val="21"/>
        </w:rPr>
      </w:pPr>
    </w:p>
    <w:p/>
    <w:p/>
    <w:p/>
    <w:p/>
    <w:p/>
    <w:p>
      <w: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小标宋简体" w:cs="Times New Roman" w:asciiTheme="minorHAnsi" w:hAnsiTheme="minorHAnsi"/>
          <w:color w:val="000000"/>
          <w:sz w:val="32"/>
          <w:szCs w:val="32"/>
          <w:lang w:eastAsia="zh-CN"/>
        </w:rPr>
      </w:pPr>
      <w:r>
        <w:rPr>
          <w:rFonts w:hint="eastAsia" w:eastAsia="方正小标宋简体" w:cs="Times New Roman"/>
          <w:color w:val="000000"/>
          <w:sz w:val="32"/>
          <w:szCs w:val="32"/>
          <w:lang w:val="en-US" w:eastAsia="zh-CN"/>
        </w:rPr>
        <w:t>洗涤剂</w:t>
      </w:r>
      <w:r>
        <w:rPr>
          <w:rFonts w:hint="eastAsia" w:eastAsia="方正小标宋简体" w:cs="Times New Roman" w:asciiTheme="minorHAnsi" w:hAnsiTheme="minorHAnsi"/>
          <w:color w:val="000000"/>
          <w:sz w:val="32"/>
          <w:szCs w:val="32"/>
          <w:lang w:val="en-US" w:eastAsia="zh-CN"/>
        </w:rPr>
        <w:t>产品</w:t>
      </w:r>
      <w:r>
        <w:rPr>
          <w:rFonts w:hint="eastAsia" w:eastAsia="方正小标宋简体" w:cs="Times New Roman" w:asciiTheme="minorHAnsi" w:hAnsiTheme="minorHAnsi"/>
          <w:color w:val="000000"/>
          <w:sz w:val="32"/>
          <w:szCs w:val="32"/>
        </w:rPr>
        <w:t>廊坊市质量监督抽查</w:t>
      </w:r>
      <w:r>
        <w:rPr>
          <w:rFonts w:hint="eastAsia" w:eastAsia="方正小标宋简体" w:cs="Times New Roman" w:asciiTheme="minorHAnsi" w:hAnsiTheme="minorHAnsi"/>
          <w:color w:val="000000"/>
          <w:sz w:val="32"/>
          <w:szCs w:val="32"/>
          <w:lang w:eastAsia="zh-CN"/>
        </w:rPr>
        <w:t>实施细则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小标宋简体" w:asciiTheme="minorHAnsi" w:hAnsiTheme="minorHAnsi"/>
          <w:color w:val="000000"/>
          <w:sz w:val="32"/>
          <w:szCs w:val="32"/>
        </w:rPr>
      </w:pPr>
      <w:r>
        <w:rPr>
          <w:rFonts w:eastAsia="方正小标宋简体" w:asciiTheme="minorHAnsi" w:hAnsiTheme="minorHAnsi"/>
          <w:color w:val="000000"/>
          <w:sz w:val="32"/>
          <w:szCs w:val="32"/>
        </w:rPr>
        <w:t>（202</w:t>
      </w:r>
      <w:r>
        <w:rPr>
          <w:rFonts w:hint="eastAsia" w:eastAsia="方正小标宋简体" w:asciiTheme="minorHAnsi" w:hAnsiTheme="minorHAnsi"/>
          <w:color w:val="000000"/>
          <w:sz w:val="32"/>
          <w:szCs w:val="32"/>
          <w:lang w:val="en-US" w:eastAsia="zh-CN"/>
        </w:rPr>
        <w:t>4</w:t>
      </w:r>
      <w:r>
        <w:rPr>
          <w:rFonts w:eastAsia="方正小标宋简体" w:asciiTheme="minorHAnsi" w:hAnsiTheme="minorHAnsi"/>
          <w:color w:val="000000"/>
          <w:sz w:val="32"/>
          <w:szCs w:val="32"/>
        </w:rPr>
        <w:t>年版）</w:t>
      </w:r>
    </w:p>
    <w:p>
      <w:pPr>
        <w:keepNext w:val="0"/>
        <w:keepLines w:val="0"/>
        <w:pageBreakBefore w:val="0"/>
        <w:widowControl w:val="0"/>
        <w:kinsoku/>
        <w:wordWrap/>
        <w:overflowPunct/>
        <w:topLinePunct w:val="0"/>
        <w:autoSpaceDE/>
        <w:autoSpaceDN/>
        <w:bidi w:val="0"/>
        <w:spacing w:beforeAutospacing="0" w:afterAutospacing="0" w:line="400" w:lineRule="exact"/>
        <w:textAlignment w:val="auto"/>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val="en-US" w:eastAsia="zh-CN"/>
        </w:rPr>
        <w:t>1</w:t>
      </w:r>
      <w:r>
        <w:rPr>
          <w:rFonts w:hint="default" w:ascii="Times New Roman" w:hAnsi="Times New Roman" w:eastAsia="黑体" w:cs="Times New Roman"/>
          <w:b w:val="0"/>
          <w:bCs w:val="0"/>
          <w:sz w:val="21"/>
          <w:szCs w:val="21"/>
          <w:lang w:eastAsia="zh-CN"/>
        </w:rPr>
        <w:t>抽样方法</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以随机抽样的方式抽取样品，随机数一般可使用投骰子或随机数表等方法产生。</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eastAsia="zh-CN"/>
        </w:rPr>
        <w:t>餐用洗涤剂类产品</w:t>
      </w:r>
      <w:r>
        <w:rPr>
          <w:rFonts w:hint="eastAsia" w:ascii="宋体" w:hAnsi="宋体" w:cs="宋体"/>
          <w:color w:val="auto"/>
          <w:szCs w:val="21"/>
        </w:rPr>
        <w:t>：</w:t>
      </w:r>
      <w:r>
        <w:rPr>
          <w:rFonts w:hint="eastAsia" w:ascii="宋体" w:hAnsi="宋体" w:cs="宋体"/>
          <w:color w:val="auto"/>
          <w:szCs w:val="21"/>
          <w:lang w:val="en-US" w:eastAsia="zh-CN"/>
        </w:rPr>
        <w:t>产品</w:t>
      </w:r>
      <w:r>
        <w:rPr>
          <w:rFonts w:hint="eastAsia" w:ascii="宋体" w:hAnsi="宋体" w:cs="宋体"/>
          <w:color w:val="auto"/>
          <w:szCs w:val="21"/>
          <w:lang w:eastAsia="zh-CN"/>
        </w:rPr>
        <w:t>净含量大于</w:t>
      </w:r>
      <w:r>
        <w:rPr>
          <w:rFonts w:hint="eastAsia" w:ascii="宋体" w:hAnsi="宋体" w:cs="宋体"/>
          <w:color w:val="auto"/>
          <w:szCs w:val="21"/>
          <w:lang w:val="en-US" w:eastAsia="zh-CN"/>
        </w:rPr>
        <w:t>500g的，抽取6瓶，其中检验样品4瓶，备用样品2瓶；产品</w:t>
      </w:r>
      <w:r>
        <w:rPr>
          <w:rFonts w:hint="eastAsia" w:ascii="宋体" w:hAnsi="宋体" w:cs="宋体"/>
          <w:color w:val="auto"/>
          <w:szCs w:val="21"/>
          <w:lang w:eastAsia="zh-CN"/>
        </w:rPr>
        <w:t>净含量</w:t>
      </w:r>
      <w:r>
        <w:rPr>
          <w:rFonts w:hint="eastAsia" w:ascii="宋体" w:hAnsi="宋体" w:cs="宋体"/>
          <w:color w:val="auto"/>
          <w:szCs w:val="21"/>
          <w:lang w:val="en-US" w:eastAsia="zh-CN"/>
        </w:rPr>
        <w:t>不大于500g的，抽取9瓶，其中检验样品6瓶，备用样品3瓶。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衣料用液体洗涤剂</w:t>
      </w:r>
      <w:r>
        <w:rPr>
          <w:rFonts w:hint="eastAsia" w:ascii="宋体" w:hAnsi="宋体" w:cs="宋体"/>
          <w:color w:val="auto"/>
          <w:szCs w:val="21"/>
          <w:lang w:eastAsia="zh-CN"/>
        </w:rPr>
        <w:t>类产品</w:t>
      </w:r>
      <w:r>
        <w:rPr>
          <w:rFonts w:hint="eastAsia" w:ascii="宋体" w:hAnsi="宋体" w:cs="宋体"/>
          <w:color w:val="auto"/>
          <w:szCs w:val="21"/>
          <w:lang w:val="en-US" w:eastAsia="zh-CN"/>
        </w:rPr>
        <w:t>：产品</w:t>
      </w:r>
      <w:r>
        <w:rPr>
          <w:rFonts w:hint="eastAsia" w:ascii="宋体" w:hAnsi="宋体" w:cs="宋体"/>
          <w:color w:val="auto"/>
          <w:szCs w:val="21"/>
          <w:lang w:eastAsia="zh-CN"/>
        </w:rPr>
        <w:t>净含量</w:t>
      </w:r>
      <w:r>
        <w:rPr>
          <w:rFonts w:hint="eastAsia" w:ascii="宋体" w:hAnsi="宋体" w:cs="宋体"/>
          <w:color w:val="auto"/>
          <w:szCs w:val="21"/>
          <w:lang w:val="en-US" w:eastAsia="zh-CN"/>
        </w:rPr>
        <w:t>不大于1kg的，抽取7瓶，其中检验样品4瓶，备用样品3瓶；产品</w:t>
      </w:r>
      <w:r>
        <w:rPr>
          <w:rFonts w:hint="eastAsia" w:ascii="宋体" w:hAnsi="宋体" w:cs="宋体"/>
          <w:color w:val="auto"/>
          <w:szCs w:val="21"/>
          <w:lang w:eastAsia="zh-CN"/>
        </w:rPr>
        <w:t>净含量大于</w:t>
      </w:r>
      <w:r>
        <w:rPr>
          <w:rFonts w:hint="eastAsia" w:ascii="宋体" w:hAnsi="宋体" w:cs="宋体"/>
          <w:color w:val="auto"/>
          <w:szCs w:val="21"/>
          <w:lang w:val="en-US" w:eastAsia="zh-CN"/>
        </w:rPr>
        <w:t>1kg的，抽取5瓶，其中检验样品3瓶，备用样品2瓶。</w:t>
      </w:r>
    </w:p>
    <w:p>
      <w:pPr>
        <w:adjustRightInd w:val="0"/>
        <w:snapToGrid w:val="0"/>
        <w:spacing w:line="440" w:lineRule="exact"/>
        <w:ind w:firstLine="420" w:firstLineChars="200"/>
        <w:rPr>
          <w:rFonts w:hint="default" w:ascii="Times New Roman" w:hAnsi="Times New Roman" w:eastAsia="黑体" w:cs="Times New Roman"/>
          <w:b w:val="0"/>
          <w:bCs w:val="0"/>
          <w:sz w:val="21"/>
          <w:szCs w:val="21"/>
          <w:lang w:val="en-US" w:eastAsia="zh-CN"/>
        </w:rPr>
      </w:pPr>
    </w:p>
    <w:p>
      <w:pPr>
        <w:adjustRightInd w:val="0"/>
        <w:snapToGrid w:val="0"/>
        <w:spacing w:line="440" w:lineRule="exact"/>
        <w:ind w:firstLine="420" w:firstLineChars="200"/>
        <w:rPr>
          <w:rFonts w:hint="default" w:ascii="Times New Roman" w:hAnsi="Times New Roman" w:eastAsia="黑体" w:cs="Times New Roman"/>
          <w:b w:val="0"/>
          <w:bCs w:val="0"/>
          <w:sz w:val="21"/>
          <w:szCs w:val="21"/>
          <w:lang w:val="en-US" w:eastAsia="zh-CN"/>
        </w:rPr>
      </w:pPr>
    </w:p>
    <w:p>
      <w:pPr>
        <w:jc w:val="left"/>
        <w:rPr>
          <w:rFonts w:hint="default" w:ascii="Times New Roman" w:hAnsi="Times New Roman" w:eastAsia="黑体" w:cs="Times New Roman"/>
          <w:b w:val="0"/>
          <w:bCs w:val="0"/>
          <w:sz w:val="21"/>
          <w:szCs w:val="21"/>
          <w:lang w:eastAsia="zh-CN"/>
        </w:rPr>
      </w:pPr>
      <w:r>
        <w:rPr>
          <w:rFonts w:hint="default" w:ascii="Times New Roman" w:hAnsi="Times New Roman" w:eastAsia="黑体" w:cs="Times New Roman"/>
          <w:b w:val="0"/>
          <w:bCs w:val="0"/>
          <w:sz w:val="21"/>
          <w:szCs w:val="21"/>
          <w:lang w:val="en-US" w:eastAsia="zh-CN"/>
        </w:rPr>
        <w:t>2检验依据</w:t>
      </w:r>
    </w:p>
    <w:p>
      <w:pPr>
        <w:jc w:val="center"/>
        <w:rPr>
          <w:rFonts w:hint="eastAsia" w:ascii="仿宋_GB2312" w:hAnsi="仿宋_GB2312" w:eastAsia="仿宋_GB2312"/>
          <w:sz w:val="28"/>
          <w:szCs w:val="28"/>
          <w:lang w:eastAsia="zh-CN"/>
        </w:rPr>
      </w:pPr>
    </w:p>
    <w:tbl>
      <w:tblPr>
        <w:tblStyle w:val="2"/>
        <w:tblpPr w:leftFromText="180" w:rightFromText="180" w:vertAnchor="text" w:horzAnchor="page" w:tblpX="1080" w:tblpY="40"/>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958"/>
        <w:gridCol w:w="4112"/>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674" w:type="dxa"/>
            <w:tcBorders>
              <w:right w:val="single" w:color="auto" w:sz="4" w:space="0"/>
            </w:tcBorders>
            <w:vAlign w:val="center"/>
          </w:tcPr>
          <w:p>
            <w:pPr>
              <w:snapToGrid w:val="0"/>
              <w:spacing w:beforeAutospacing="0" w:afterAutospacing="0" w:line="28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序号</w:t>
            </w:r>
          </w:p>
        </w:tc>
        <w:tc>
          <w:tcPr>
            <w:tcW w:w="1958" w:type="dxa"/>
            <w:tcBorders>
              <w:left w:val="single" w:color="auto" w:sz="4" w:space="0"/>
            </w:tcBorders>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产品名称</w:t>
            </w:r>
          </w:p>
        </w:tc>
        <w:tc>
          <w:tcPr>
            <w:tcW w:w="4112" w:type="dxa"/>
            <w:vAlign w:val="center"/>
          </w:tcPr>
          <w:p>
            <w:pPr>
              <w:snapToGrid w:val="0"/>
              <w:spacing w:beforeAutospacing="0" w:afterAutospacing="0" w:line="28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检验项目</w:t>
            </w:r>
          </w:p>
        </w:tc>
        <w:tc>
          <w:tcPr>
            <w:tcW w:w="2875" w:type="dxa"/>
            <w:vAlign w:val="center"/>
          </w:tcPr>
          <w:p>
            <w:pPr>
              <w:snapToGrid w:val="0"/>
              <w:spacing w:beforeAutospacing="0" w:afterAutospacing="0" w:line="28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674" w:type="dxa"/>
            <w:vMerge w:val="restart"/>
            <w:tcBorders>
              <w:righ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1</w:t>
            </w:r>
          </w:p>
        </w:tc>
        <w:tc>
          <w:tcPr>
            <w:tcW w:w="1958" w:type="dxa"/>
            <w:vMerge w:val="restart"/>
            <w:tcBorders>
              <w:lef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eastAsiaTheme="minorEastAsia"/>
                <w:b w:val="0"/>
                <w:bCs w:val="0"/>
                <w:sz w:val="21"/>
                <w:szCs w:val="21"/>
                <w:lang w:val="en-US" w:eastAsia="zh-CN"/>
              </w:rPr>
              <w:t>餐具用</w:t>
            </w:r>
            <w:r>
              <w:rPr>
                <w:rFonts w:hint="default" w:ascii="Times New Roman" w:hAnsi="Times New Roman" w:cs="Times New Roman" w:eastAsiaTheme="minorEastAsia"/>
                <w:b w:val="0"/>
                <w:bCs w:val="0"/>
                <w:sz w:val="21"/>
                <w:szCs w:val="21"/>
                <w:lang w:eastAsia="zh-CN"/>
              </w:rPr>
              <w:t>洗涤剂</w:t>
            </w:r>
          </w:p>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b w:val="0"/>
                <w:bCs w:val="0"/>
                <w:sz w:val="21"/>
                <w:szCs w:val="21"/>
                <w:lang w:val="en-US" w:eastAsia="zh-CN"/>
              </w:rPr>
            </w:pPr>
          </w:p>
        </w:tc>
        <w:tc>
          <w:tcPr>
            <w:tcW w:w="4112"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pH(25℃,0.1%溶液)</w:t>
            </w:r>
          </w:p>
        </w:tc>
        <w:tc>
          <w:tcPr>
            <w:tcW w:w="2875"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GB/T 6368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674" w:type="dxa"/>
            <w:vMerge w:val="continue"/>
            <w:tcBorders>
              <w:righ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1958" w:type="dxa"/>
            <w:vMerge w:val="continue"/>
            <w:tcBorders>
              <w:lef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4112"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总活性物含量</w:t>
            </w:r>
          </w:p>
        </w:tc>
        <w:tc>
          <w:tcPr>
            <w:tcW w:w="2875"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GB/T 13173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674" w:type="dxa"/>
            <w:vMerge w:val="continue"/>
            <w:tcBorders>
              <w:right w:val="single" w:color="auto" w:sz="4" w:space="0"/>
            </w:tcBorders>
            <w:vAlign w:val="center"/>
          </w:tcPr>
          <w:p>
            <w:pPr>
              <w:keepNext w:val="0"/>
              <w:keepLines w:val="0"/>
              <w:pageBreakBefore w:val="0"/>
              <w:tabs>
                <w:tab w:val="left" w:pos="492"/>
              </w:tabs>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1958" w:type="dxa"/>
            <w:vMerge w:val="continue"/>
            <w:tcBorders>
              <w:left w:val="single" w:color="auto" w:sz="4" w:space="0"/>
            </w:tcBorders>
            <w:vAlign w:val="center"/>
          </w:tcPr>
          <w:p>
            <w:pPr>
              <w:keepNext w:val="0"/>
              <w:keepLines w:val="0"/>
              <w:pageBreakBefore w:val="0"/>
              <w:tabs>
                <w:tab w:val="left" w:pos="492"/>
              </w:tabs>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4112"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甲醇</w:t>
            </w:r>
          </w:p>
        </w:tc>
        <w:tc>
          <w:tcPr>
            <w:tcW w:w="2875"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GB/T 30795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674" w:type="dxa"/>
            <w:vMerge w:val="continue"/>
            <w:tcBorders>
              <w:righ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1958" w:type="dxa"/>
            <w:vMerge w:val="continue"/>
            <w:tcBorders>
              <w:lef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4112"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甲醛</w:t>
            </w:r>
          </w:p>
        </w:tc>
        <w:tc>
          <w:tcPr>
            <w:tcW w:w="2875"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GB/T 30796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674" w:type="dxa"/>
            <w:vMerge w:val="continue"/>
            <w:tcBorders>
              <w:righ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1958" w:type="dxa"/>
            <w:vMerge w:val="continue"/>
            <w:tcBorders>
              <w:lef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4112"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砷(1%溶液中以砷计)</w:t>
            </w:r>
          </w:p>
        </w:tc>
        <w:tc>
          <w:tcPr>
            <w:tcW w:w="2875"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GB/T 30797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674" w:type="dxa"/>
            <w:vMerge w:val="continue"/>
            <w:tcBorders>
              <w:righ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1958" w:type="dxa"/>
            <w:vMerge w:val="continue"/>
            <w:tcBorders>
              <w:lef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4112"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重金属(1%溶液中以铅计)</w:t>
            </w:r>
          </w:p>
        </w:tc>
        <w:tc>
          <w:tcPr>
            <w:tcW w:w="2875"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GB/T 30799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674" w:type="dxa"/>
            <w:vMerge w:val="restart"/>
            <w:tcBorders>
              <w:righ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2</w:t>
            </w:r>
          </w:p>
        </w:tc>
        <w:tc>
          <w:tcPr>
            <w:tcW w:w="1958" w:type="dxa"/>
            <w:vMerge w:val="restart"/>
            <w:tcBorders>
              <w:lef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b w:val="0"/>
                <w:bCs w:val="0"/>
                <w:sz w:val="21"/>
                <w:szCs w:val="21"/>
                <w:lang w:val="en-US" w:eastAsia="zh-CN"/>
              </w:rPr>
              <w:t>衣料用液体</w:t>
            </w:r>
            <w:r>
              <w:rPr>
                <w:rFonts w:hint="default" w:ascii="Times New Roman" w:hAnsi="Times New Roman" w:cs="Times New Roman" w:eastAsiaTheme="minorEastAsia"/>
                <w:b w:val="0"/>
                <w:bCs w:val="0"/>
                <w:sz w:val="21"/>
                <w:szCs w:val="21"/>
                <w:lang w:eastAsia="zh-CN"/>
              </w:rPr>
              <w:t>洗涤剂</w:t>
            </w:r>
          </w:p>
        </w:tc>
        <w:tc>
          <w:tcPr>
            <w:tcW w:w="4112"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pH（25℃,1%水溶液）</w:t>
            </w:r>
          </w:p>
        </w:tc>
        <w:tc>
          <w:tcPr>
            <w:tcW w:w="2875"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GB/T 6368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674" w:type="dxa"/>
            <w:vMerge w:val="continue"/>
            <w:tcBorders>
              <w:righ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1958" w:type="dxa"/>
            <w:vMerge w:val="continue"/>
            <w:tcBorders>
              <w:lef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4112"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总活性物</w:t>
            </w:r>
          </w:p>
        </w:tc>
        <w:tc>
          <w:tcPr>
            <w:tcW w:w="2875" w:type="dxa"/>
            <w:vMerge w:val="restart"/>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GB/T 13173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674" w:type="dxa"/>
            <w:vMerge w:val="continue"/>
            <w:tcBorders>
              <w:righ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1958" w:type="dxa"/>
            <w:vMerge w:val="continue"/>
            <w:tcBorders>
              <w:lef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4112"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总五氧化二磷</w:t>
            </w:r>
          </w:p>
        </w:tc>
        <w:tc>
          <w:tcPr>
            <w:tcW w:w="2875" w:type="dxa"/>
            <w:vMerge w:val="continue"/>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674" w:type="dxa"/>
            <w:vMerge w:val="continue"/>
            <w:tcBorders>
              <w:righ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1958" w:type="dxa"/>
            <w:vMerge w:val="continue"/>
            <w:tcBorders>
              <w:left w:val="single" w:color="auto" w:sz="4" w:space="0"/>
            </w:tcBorders>
            <w:vAlign w:val="center"/>
          </w:tcPr>
          <w:p>
            <w:pPr>
              <w:keepNext w:val="0"/>
              <w:keepLines w:val="0"/>
              <w:pageBreakBefore w:val="0"/>
              <w:kinsoku/>
              <w:overflowPunct/>
              <w:topLinePunct w:val="0"/>
              <w:bidi w:val="0"/>
              <w:spacing w:beforeAutospacing="0" w:afterAutospacing="0" w:line="240" w:lineRule="atLeast"/>
              <w:jc w:val="center"/>
              <w:rPr>
                <w:rFonts w:hint="default" w:ascii="Times New Roman" w:hAnsi="Times New Roman" w:cs="Times New Roman" w:eastAsiaTheme="minorEastAsia"/>
                <w:color w:val="000000"/>
                <w:sz w:val="21"/>
                <w:szCs w:val="21"/>
              </w:rPr>
            </w:pPr>
          </w:p>
        </w:tc>
        <w:tc>
          <w:tcPr>
            <w:tcW w:w="4112"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稳定性</w:t>
            </w:r>
          </w:p>
        </w:tc>
        <w:tc>
          <w:tcPr>
            <w:tcW w:w="2875" w:type="dxa"/>
            <w:vAlign w:val="center"/>
          </w:tcPr>
          <w:p>
            <w:pPr>
              <w:snapToGrid w:val="0"/>
              <w:spacing w:beforeAutospacing="0" w:afterAutospacing="0" w:line="28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QB/T 1224</w:t>
            </w:r>
          </w:p>
        </w:tc>
      </w:tr>
    </w:tbl>
    <w:p>
      <w:pPr>
        <w:rPr>
          <w:rFonts w:hint="default" w:ascii="Times New Roman" w:hAnsi="Times New Roman" w:eastAsia="宋体" w:cs="Times New Roman"/>
          <w:b w:val="0"/>
          <w:bCs w:val="0"/>
          <w:sz w:val="21"/>
          <w:szCs w:val="21"/>
        </w:rPr>
      </w:pPr>
    </w:p>
    <w:p>
      <w:pPr>
        <w:rPr>
          <w:rFonts w:hint="default" w:ascii="Times New Roman" w:hAnsi="Times New Roman" w:eastAsia="宋体" w:cs="Times New Roman"/>
          <w:b w:val="0"/>
          <w:bCs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注：执行企业标准、团体标准、地方标准的产品，检验项目参照上述内容执行。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b w:val="0"/>
          <w:bCs w:val="0"/>
          <w:sz w:val="21"/>
          <w:szCs w:val="21"/>
          <w:lang w:eastAsia="zh-CN"/>
        </w:rPr>
      </w:pPr>
      <w:r>
        <w:rPr>
          <w:rFonts w:hint="eastAsia" w:ascii="仿宋_GB2312" w:hAnsi="仿宋_GB2312" w:eastAsia="仿宋_GB2312"/>
          <w:sz w:val="18"/>
          <w:szCs w:val="18"/>
          <w:lang w:eastAsia="zh-CN"/>
        </w:rPr>
        <w:br w:type="page"/>
      </w:r>
      <w:r>
        <w:rPr>
          <w:rFonts w:hint="default" w:ascii="Times New Roman" w:hAnsi="Times New Roman" w:eastAsia="黑体" w:cs="Times New Roman"/>
          <w:b w:val="0"/>
          <w:bCs w:val="0"/>
          <w:sz w:val="21"/>
          <w:szCs w:val="21"/>
          <w:lang w:val="en-US" w:eastAsia="zh-CN"/>
        </w:rPr>
        <w:t>3判定规则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3.1</w:t>
      </w:r>
      <w:r>
        <w:rPr>
          <w:rFonts w:hint="default" w:ascii="Times New Roman" w:hAnsi="Times New Roman" w:cs="Times New Roman" w:eastAsiaTheme="minorEastAsia"/>
          <w:sz w:val="21"/>
          <w:szCs w:val="21"/>
          <w:lang w:val="en-US" w:eastAsia="zh-CN"/>
        </w:rPr>
        <w:t>依据标准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手洗餐具用</w:t>
      </w:r>
      <w:r>
        <w:rPr>
          <w:rFonts w:hint="default" w:ascii="Times New Roman" w:hAnsi="Times New Roman" w:cs="Times New Roman" w:eastAsiaTheme="minorEastAsia"/>
          <w:sz w:val="21"/>
          <w:szCs w:val="21"/>
          <w:lang w:eastAsia="zh-CN"/>
        </w:rPr>
        <w:t>洗涤剂</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GB 9985-2000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《食品安全国家标准 洗涤剂》GB 14930.1-2015</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《衣料用液体</w:t>
      </w:r>
      <w:r>
        <w:rPr>
          <w:rFonts w:hint="default" w:ascii="Times New Roman" w:hAnsi="Times New Roman" w:cs="Times New Roman" w:eastAsiaTheme="minorEastAsia"/>
          <w:sz w:val="21"/>
          <w:szCs w:val="21"/>
          <w:lang w:eastAsia="zh-CN"/>
        </w:rPr>
        <w:t>洗涤剂</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QB/T 1224-2012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现行有效的企业标准</w:t>
      </w:r>
      <w:r>
        <w:rPr>
          <w:rFonts w:hint="default" w:ascii="Times New Roman" w:hAnsi="Times New Roman" w:cs="Times New Roman" w:eastAsiaTheme="minorEastAsia"/>
          <w:color w:val="000000"/>
          <w:sz w:val="21"/>
          <w:szCs w:val="21"/>
          <w:lang w:eastAsia="zh-CN"/>
        </w:rPr>
        <w:t>或</w:t>
      </w:r>
      <w:r>
        <w:rPr>
          <w:rFonts w:hint="default" w:ascii="Times New Roman" w:hAnsi="Times New Roman" w:cs="Times New Roman" w:eastAsiaTheme="minorEastAsia"/>
          <w:sz w:val="21"/>
          <w:szCs w:val="21"/>
        </w:rPr>
        <w:t>产品明示质量要求</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3.2</w:t>
      </w:r>
      <w:r>
        <w:rPr>
          <w:rFonts w:hint="default" w:ascii="Times New Roman" w:hAnsi="Times New Roman" w:cs="Times New Roman" w:eastAsiaTheme="minorEastAsia"/>
          <w:sz w:val="21"/>
          <w:szCs w:val="21"/>
          <w:lang w:val="en-US" w:eastAsia="zh-CN"/>
        </w:rPr>
        <w:t>判定原则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经检验，检验项目全部合格，判定被抽查产品所检项目未发现不合格；检验项目中任一项或一项以上不合格， 判定被抽查产品不合格。</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sz w:val="21"/>
          <w:szCs w:val="21"/>
          <w:lang w:val="en-US" w:eastAsia="zh-CN"/>
        </w:rPr>
      </w:pPr>
    </w:p>
    <w:p>
      <w:pPr>
        <w:keepNext w:val="0"/>
        <w:keepLines w:val="0"/>
        <w:pageBreakBefore w:val="0"/>
        <w:widowControl w:val="0"/>
        <w:kinsoku/>
        <w:overflowPunct/>
        <w:topLinePunct w:val="0"/>
        <w:bidi w:val="0"/>
        <w:spacing w:beforeAutospacing="0" w:afterAutospacing="0" w:line="500" w:lineRule="exact"/>
        <w:ind w:firstLine="420" w:firstLineChars="200"/>
        <w:rPr>
          <w:rFonts w:hint="default" w:ascii="Times New Roman" w:hAnsi="Times New Roman" w:cs="Times New Roman" w:eastAsiaTheme="minorEastAsia"/>
          <w:sz w:val="21"/>
          <w:szCs w:val="21"/>
          <w:lang w:val="en-US" w:eastAsia="zh-CN"/>
        </w:rPr>
      </w:pPr>
    </w:p>
    <w:sectPr>
      <w:headerReference r:id="rId3" w:type="default"/>
      <w:footerReference r:id="rId4" w:type="default"/>
      <w:pgSz w:w="11906" w:h="16838"/>
      <w:pgMar w:top="1383" w:right="1134" w:bottom="1383"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680" w:right="168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Q0NWFlMTI1YTEzMjc0ZmY3ODgyNWIzODM1YWYifQ=="/>
  </w:docVars>
  <w:rsids>
    <w:rsidRoot w:val="00000000"/>
    <w:rsid w:val="00997D30"/>
    <w:rsid w:val="00DF14BB"/>
    <w:rsid w:val="01AE534D"/>
    <w:rsid w:val="02C1356F"/>
    <w:rsid w:val="02DF43C0"/>
    <w:rsid w:val="04AE18D1"/>
    <w:rsid w:val="05184F9C"/>
    <w:rsid w:val="05860158"/>
    <w:rsid w:val="05883ED0"/>
    <w:rsid w:val="05B20F4D"/>
    <w:rsid w:val="05BE1FE7"/>
    <w:rsid w:val="05F57D8A"/>
    <w:rsid w:val="06D01FD2"/>
    <w:rsid w:val="080842EB"/>
    <w:rsid w:val="081C4DA3"/>
    <w:rsid w:val="08404F36"/>
    <w:rsid w:val="095D7F5D"/>
    <w:rsid w:val="098705F9"/>
    <w:rsid w:val="09F50440"/>
    <w:rsid w:val="0A820A57"/>
    <w:rsid w:val="0C25691C"/>
    <w:rsid w:val="0C874EE1"/>
    <w:rsid w:val="0E367872"/>
    <w:rsid w:val="0E981627"/>
    <w:rsid w:val="1074577C"/>
    <w:rsid w:val="10F90377"/>
    <w:rsid w:val="118969A8"/>
    <w:rsid w:val="118C11EC"/>
    <w:rsid w:val="119753A1"/>
    <w:rsid w:val="121D3BF2"/>
    <w:rsid w:val="1266007C"/>
    <w:rsid w:val="133E2072"/>
    <w:rsid w:val="136C6BDF"/>
    <w:rsid w:val="14B60A59"/>
    <w:rsid w:val="150712B5"/>
    <w:rsid w:val="152139F9"/>
    <w:rsid w:val="157F52EF"/>
    <w:rsid w:val="16685A1A"/>
    <w:rsid w:val="16984783"/>
    <w:rsid w:val="17970522"/>
    <w:rsid w:val="17A83DC3"/>
    <w:rsid w:val="17E4768B"/>
    <w:rsid w:val="1833766A"/>
    <w:rsid w:val="18C748B7"/>
    <w:rsid w:val="19193C4F"/>
    <w:rsid w:val="195473CA"/>
    <w:rsid w:val="19CE6268"/>
    <w:rsid w:val="1B304996"/>
    <w:rsid w:val="1B324BB2"/>
    <w:rsid w:val="1BED2887"/>
    <w:rsid w:val="1C71170A"/>
    <w:rsid w:val="1C7A05BE"/>
    <w:rsid w:val="1CB810E7"/>
    <w:rsid w:val="1CCB0E1A"/>
    <w:rsid w:val="1CDC6B1E"/>
    <w:rsid w:val="1D90796E"/>
    <w:rsid w:val="1E601A36"/>
    <w:rsid w:val="1EAE09F3"/>
    <w:rsid w:val="1ED146E2"/>
    <w:rsid w:val="1F0E2273"/>
    <w:rsid w:val="1F903C55"/>
    <w:rsid w:val="1F9279CD"/>
    <w:rsid w:val="200C2FED"/>
    <w:rsid w:val="204A64FA"/>
    <w:rsid w:val="21D342CD"/>
    <w:rsid w:val="22947141"/>
    <w:rsid w:val="22B10AB2"/>
    <w:rsid w:val="23B32608"/>
    <w:rsid w:val="2406447D"/>
    <w:rsid w:val="244B45EE"/>
    <w:rsid w:val="244F43AE"/>
    <w:rsid w:val="245636BF"/>
    <w:rsid w:val="24A10C0D"/>
    <w:rsid w:val="252C4420"/>
    <w:rsid w:val="25754019"/>
    <w:rsid w:val="257B1CBC"/>
    <w:rsid w:val="26461511"/>
    <w:rsid w:val="26D0702D"/>
    <w:rsid w:val="274A3283"/>
    <w:rsid w:val="27653C19"/>
    <w:rsid w:val="27DD7C53"/>
    <w:rsid w:val="284E28FF"/>
    <w:rsid w:val="28AC5FA3"/>
    <w:rsid w:val="29B53305"/>
    <w:rsid w:val="2A337FFE"/>
    <w:rsid w:val="2A434276"/>
    <w:rsid w:val="2A5F2BA2"/>
    <w:rsid w:val="2AFB4BDF"/>
    <w:rsid w:val="2B842931"/>
    <w:rsid w:val="2DF67CC1"/>
    <w:rsid w:val="2E692241"/>
    <w:rsid w:val="2E7035CF"/>
    <w:rsid w:val="2EAC037F"/>
    <w:rsid w:val="2ECC352D"/>
    <w:rsid w:val="2EE10029"/>
    <w:rsid w:val="2EEA0593"/>
    <w:rsid w:val="2EFC30B5"/>
    <w:rsid w:val="2F7B3D98"/>
    <w:rsid w:val="2F963509"/>
    <w:rsid w:val="2FD8774C"/>
    <w:rsid w:val="301B14C2"/>
    <w:rsid w:val="304A4721"/>
    <w:rsid w:val="30EA5C6C"/>
    <w:rsid w:val="311A3CC6"/>
    <w:rsid w:val="313C4787"/>
    <w:rsid w:val="31723B02"/>
    <w:rsid w:val="31C57FCF"/>
    <w:rsid w:val="31D75713"/>
    <w:rsid w:val="31F2254D"/>
    <w:rsid w:val="32DB1233"/>
    <w:rsid w:val="334172DD"/>
    <w:rsid w:val="33AE06F6"/>
    <w:rsid w:val="34627E5E"/>
    <w:rsid w:val="34A22009"/>
    <w:rsid w:val="34DF14AF"/>
    <w:rsid w:val="35270760"/>
    <w:rsid w:val="35FF348B"/>
    <w:rsid w:val="360A255B"/>
    <w:rsid w:val="36B60EB3"/>
    <w:rsid w:val="371B42F4"/>
    <w:rsid w:val="371E0699"/>
    <w:rsid w:val="37294C63"/>
    <w:rsid w:val="37402912"/>
    <w:rsid w:val="39736669"/>
    <w:rsid w:val="3B1B2B15"/>
    <w:rsid w:val="3B2C2F74"/>
    <w:rsid w:val="3BC60CD2"/>
    <w:rsid w:val="3BD80A06"/>
    <w:rsid w:val="3BF00816"/>
    <w:rsid w:val="3CE67A92"/>
    <w:rsid w:val="3CF11D7F"/>
    <w:rsid w:val="3D89645B"/>
    <w:rsid w:val="3E761C78"/>
    <w:rsid w:val="3E8166DB"/>
    <w:rsid w:val="3F041198"/>
    <w:rsid w:val="3FD94031"/>
    <w:rsid w:val="3FE67B95"/>
    <w:rsid w:val="40BF2194"/>
    <w:rsid w:val="41A01FC6"/>
    <w:rsid w:val="41AD5543"/>
    <w:rsid w:val="41D028CD"/>
    <w:rsid w:val="41D91034"/>
    <w:rsid w:val="421B164C"/>
    <w:rsid w:val="425B7C9B"/>
    <w:rsid w:val="42E163F2"/>
    <w:rsid w:val="434D1CD9"/>
    <w:rsid w:val="43866F99"/>
    <w:rsid w:val="43C42AC1"/>
    <w:rsid w:val="44D9497C"/>
    <w:rsid w:val="4629258A"/>
    <w:rsid w:val="46342CDD"/>
    <w:rsid w:val="465D5881"/>
    <w:rsid w:val="46BD7176"/>
    <w:rsid w:val="46D00C57"/>
    <w:rsid w:val="47AA14A8"/>
    <w:rsid w:val="48147269"/>
    <w:rsid w:val="481903DC"/>
    <w:rsid w:val="4856661B"/>
    <w:rsid w:val="485853A8"/>
    <w:rsid w:val="48684EBF"/>
    <w:rsid w:val="4A301A0D"/>
    <w:rsid w:val="4A3F411C"/>
    <w:rsid w:val="4A9A1CA8"/>
    <w:rsid w:val="4B1550AF"/>
    <w:rsid w:val="4B8E76F6"/>
    <w:rsid w:val="4C8D179C"/>
    <w:rsid w:val="4DBA61BD"/>
    <w:rsid w:val="4DBB394A"/>
    <w:rsid w:val="4DFE254E"/>
    <w:rsid w:val="4EA36C51"/>
    <w:rsid w:val="4EE31744"/>
    <w:rsid w:val="5012408F"/>
    <w:rsid w:val="5067557D"/>
    <w:rsid w:val="50A218B6"/>
    <w:rsid w:val="50A73A80"/>
    <w:rsid w:val="51257DF2"/>
    <w:rsid w:val="51981FF3"/>
    <w:rsid w:val="519A258E"/>
    <w:rsid w:val="52306A4E"/>
    <w:rsid w:val="52C8312A"/>
    <w:rsid w:val="5311687F"/>
    <w:rsid w:val="53346A12"/>
    <w:rsid w:val="537F310C"/>
    <w:rsid w:val="549A0AF6"/>
    <w:rsid w:val="55306D65"/>
    <w:rsid w:val="55753A7D"/>
    <w:rsid w:val="55D83684"/>
    <w:rsid w:val="566F7082"/>
    <w:rsid w:val="56731B3E"/>
    <w:rsid w:val="57C540DC"/>
    <w:rsid w:val="580C14A6"/>
    <w:rsid w:val="583E03E1"/>
    <w:rsid w:val="58D77C23"/>
    <w:rsid w:val="58FD519F"/>
    <w:rsid w:val="590641F8"/>
    <w:rsid w:val="5A8916FB"/>
    <w:rsid w:val="5AC643F3"/>
    <w:rsid w:val="5B1E422F"/>
    <w:rsid w:val="5BA30291"/>
    <w:rsid w:val="5C763BF7"/>
    <w:rsid w:val="5D681792"/>
    <w:rsid w:val="5DB22A0D"/>
    <w:rsid w:val="5DE24C61"/>
    <w:rsid w:val="5E1C2ED9"/>
    <w:rsid w:val="5E74502D"/>
    <w:rsid w:val="5E7E6D93"/>
    <w:rsid w:val="5FB15643"/>
    <w:rsid w:val="60077923"/>
    <w:rsid w:val="608D150F"/>
    <w:rsid w:val="609C4831"/>
    <w:rsid w:val="61DC62AA"/>
    <w:rsid w:val="61E84C4F"/>
    <w:rsid w:val="627E1801"/>
    <w:rsid w:val="62A56FE4"/>
    <w:rsid w:val="62C12BFD"/>
    <w:rsid w:val="63737C62"/>
    <w:rsid w:val="63827325"/>
    <w:rsid w:val="64095351"/>
    <w:rsid w:val="648222B1"/>
    <w:rsid w:val="64B654D9"/>
    <w:rsid w:val="65534AD5"/>
    <w:rsid w:val="67073DC9"/>
    <w:rsid w:val="68005339"/>
    <w:rsid w:val="681C5653"/>
    <w:rsid w:val="688F7197"/>
    <w:rsid w:val="68B63CF9"/>
    <w:rsid w:val="68B71409"/>
    <w:rsid w:val="69564B94"/>
    <w:rsid w:val="698C05B6"/>
    <w:rsid w:val="69F820EF"/>
    <w:rsid w:val="6AA47B81"/>
    <w:rsid w:val="6AB44268"/>
    <w:rsid w:val="6B2C2051"/>
    <w:rsid w:val="6C6C70B4"/>
    <w:rsid w:val="6CDC1854"/>
    <w:rsid w:val="6DBD3434"/>
    <w:rsid w:val="6E1D3ED3"/>
    <w:rsid w:val="6EAC5256"/>
    <w:rsid w:val="6EBD7464"/>
    <w:rsid w:val="6F6A75EB"/>
    <w:rsid w:val="6FB24AEE"/>
    <w:rsid w:val="6FDD7DBD"/>
    <w:rsid w:val="71C91708"/>
    <w:rsid w:val="72B244D8"/>
    <w:rsid w:val="735B593E"/>
    <w:rsid w:val="73A05753"/>
    <w:rsid w:val="743D56C4"/>
    <w:rsid w:val="74732A9E"/>
    <w:rsid w:val="754E0E15"/>
    <w:rsid w:val="755B0018"/>
    <w:rsid w:val="757271FA"/>
    <w:rsid w:val="76D87530"/>
    <w:rsid w:val="781F24C7"/>
    <w:rsid w:val="786A065C"/>
    <w:rsid w:val="78874D6A"/>
    <w:rsid w:val="78AE679B"/>
    <w:rsid w:val="78BB0EB8"/>
    <w:rsid w:val="7A234113"/>
    <w:rsid w:val="7A5B64AE"/>
    <w:rsid w:val="7A5E7D4D"/>
    <w:rsid w:val="7B9854E0"/>
    <w:rsid w:val="7C5533D1"/>
    <w:rsid w:val="7C920181"/>
    <w:rsid w:val="7CD73DE6"/>
    <w:rsid w:val="7CE24C65"/>
    <w:rsid w:val="7D4E22FA"/>
    <w:rsid w:val="7E5E47BF"/>
    <w:rsid w:val="7E962A62"/>
    <w:rsid w:val="7FD74E94"/>
    <w:rsid w:val="7FF30531"/>
    <w:rsid w:val="BFAB7F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spacing w:before="340" w:beforeAutospacing="0" w:after="330" w:afterAutospacing="0" w:line="576" w:lineRule="auto"/>
      <w:outlineLvl w:val="0"/>
    </w:pPr>
    <w:rPr>
      <w:b/>
      <w:kern w:val="44"/>
      <w:sz w:val="44"/>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正文文本缩进1"/>
    <w:basedOn w:val="1"/>
    <w:qFormat/>
    <w:uiPriority w:val="0"/>
    <w:pPr>
      <w:ind w:firstLine="600" w:firstLineChars="200"/>
    </w:pPr>
    <w:rPr>
      <w:rFonts w:ascii="Times New Roman" w:hAnsi="Times New Roman" w:eastAsia="仿宋_GB2312"/>
      <w:sz w:val="30"/>
      <w:szCs w:val="24"/>
    </w:rPr>
  </w:style>
  <w:style w:type="paragraph" w:customStyle="1" w:styleId="8">
    <w:name w:val="文本块1"/>
    <w:basedOn w:val="1"/>
    <w:qFormat/>
    <w:uiPriority w:val="0"/>
    <w:pPr>
      <w:spacing w:beforeAutospacing="0" w:after="120" w:afterAutospacing="0"/>
      <w:ind w:left="1440" w:leftChars="700" w:right="1440" w:rightChars="700"/>
    </w:pPr>
  </w:style>
  <w:style w:type="paragraph" w:customStyle="1" w:styleId="9">
    <w:name w:val="页脚1"/>
    <w:basedOn w:val="1"/>
    <w:qFormat/>
    <w:uiPriority w:val="0"/>
    <w:pPr>
      <w:tabs>
        <w:tab w:val="center" w:pos="4153"/>
        <w:tab w:val="right" w:pos="8306"/>
      </w:tabs>
      <w:snapToGrid w:val="0"/>
      <w:jc w:val="left"/>
    </w:pPr>
    <w:rPr>
      <w:sz w:val="18"/>
      <w:szCs w:val="18"/>
    </w:rPr>
  </w:style>
  <w:style w:type="table" w:customStyle="1" w:styleId="10">
    <w:name w:val="网格型1"/>
    <w:basedOn w:val="6"/>
    <w:qFormat/>
    <w:uiPriority w:val="0"/>
    <w:pPr>
      <w:widowControl w:val="0"/>
      <w:jc w:val="both"/>
    </w:pPr>
  </w:style>
  <w:style w:type="character" w:customStyle="1" w:styleId="11">
    <w:name w:val="页码1"/>
    <w:basedOn w:val="5"/>
    <w:link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7336</Words>
  <Characters>8337</Characters>
  <Lines>0</Lines>
  <Paragraphs>0</Paragraphs>
  <TotalTime>0</TotalTime>
  <ScaleCrop>false</ScaleCrop>
  <LinksUpToDate>false</LinksUpToDate>
  <CharactersWithSpaces>8540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2023-02-20T14:10:00Z</dcterms:created>
  <dc:creator>Administrator</dc:creator>
  <cp:lastModifiedBy>uos</cp:lastModifiedBy>
  <cp:lastPrinted>2024-03-18T11:32:00Z</cp:lastPrinted>
  <dcterms:modified xsi:type="dcterms:W3CDTF">2024-04-23T09:21:29Z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848344B827B44B239137AB46E3DCED6C_13</vt:lpwstr>
  </property>
</Properties>
</file>