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eastAsia="方正小标宋简体"/>
          <w:color w:val="000000"/>
          <w:sz w:val="32"/>
          <w:szCs w:val="32"/>
        </w:rPr>
      </w:pPr>
      <w:r>
        <w:rPr>
          <w:rFonts w:hint="eastAsia" w:eastAsia="方正小标宋简体"/>
          <w:color w:val="000000"/>
          <w:sz w:val="32"/>
          <w:szCs w:val="32"/>
          <w:lang w:eastAsia="zh-CN"/>
        </w:rPr>
        <w:t>廊坊市车用乙醇汽油</w:t>
      </w:r>
      <w:r>
        <w:rPr>
          <w:rFonts w:eastAsia="方正小标宋简体"/>
          <w:color w:val="000000"/>
          <w:sz w:val="32"/>
          <w:szCs w:val="32"/>
        </w:rPr>
        <w:t>产品质量监督抽查实施细则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w:t>
      </w:r>
      <w:r>
        <w:rPr>
          <w:rFonts w:hint="default" w:eastAsia="方正小标宋简体"/>
          <w:color w:val="000000"/>
          <w:sz w:val="32"/>
          <w:szCs w:val="32"/>
          <w:lang w:val="en-US"/>
        </w:rPr>
        <w:t>4</w:t>
      </w:r>
      <w:r>
        <w:rPr>
          <w:rFonts w:eastAsia="方正小标宋简体"/>
          <w:color w:val="000000"/>
          <w:sz w:val="32"/>
          <w:szCs w:val="32"/>
        </w:rPr>
        <w:t>年版）</w:t>
      </w:r>
    </w:p>
    <w:p>
      <w:pPr>
        <w:snapToGrid w:val="0"/>
        <w:spacing w:line="440" w:lineRule="exact"/>
        <w:rPr>
          <w:rFonts w:eastAsia="黑体"/>
          <w:color w:val="000000"/>
          <w:szCs w:val="21"/>
        </w:rPr>
      </w:pP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1.范围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lang w:val="en-US" w:eastAsia="zh-CN"/>
        </w:rPr>
      </w:pPr>
      <w:r>
        <w:rPr>
          <w:rFonts w:hint="eastAsia" w:ascii="Times New Roman" w:hAnsi="Times New Roman" w:cs="Times New Roman"/>
          <w:color w:val="auto"/>
          <w:sz w:val="21"/>
          <w:szCs w:val="21"/>
          <w:lang w:eastAsia="zh-CN"/>
        </w:rPr>
        <w:t>本细则适用于廊坊市市场监督管理局（以下称市局）组织的车用</w:t>
      </w:r>
      <w:r>
        <w:rPr>
          <w:rFonts w:hint="eastAsia" w:cs="Times New Roman"/>
          <w:color w:val="auto"/>
          <w:sz w:val="21"/>
          <w:szCs w:val="21"/>
          <w:lang w:eastAsia="zh-CN"/>
        </w:rPr>
        <w:t>乙醇汽油</w:t>
      </w:r>
      <w:r>
        <w:rPr>
          <w:rFonts w:hint="eastAsia" w:ascii="Times New Roman" w:hAnsi="Times New Roman" w:cs="Times New Roman"/>
          <w:color w:val="auto"/>
          <w:sz w:val="21"/>
          <w:szCs w:val="21"/>
          <w:lang w:eastAsia="zh-CN"/>
        </w:rPr>
        <w:t>产品质量监督抽查检验。</w:t>
      </w:r>
      <w:r>
        <w:rPr>
          <w:rFonts w:hint="eastAsia"/>
          <w:szCs w:val="21"/>
          <w:lang w:val="en-US" w:eastAsia="zh-CN"/>
        </w:rPr>
        <w:t>抽查产品包括：92号车用乙醇汽油、95号车用乙醇汽油、98号车用乙醇汽油。</w:t>
      </w:r>
    </w:p>
    <w:p>
      <w:pPr>
        <w:snapToGrid w:val="0"/>
        <w:spacing w:line="440" w:lineRule="exact"/>
        <w:rPr>
          <w:rFonts w:eastAsia="黑体"/>
          <w:color w:val="000000"/>
          <w:szCs w:val="21"/>
        </w:rPr>
      </w:pPr>
      <w:r>
        <w:rPr>
          <w:rFonts w:hint="eastAsia" w:eastAsia="黑体"/>
          <w:color w:val="000000"/>
          <w:szCs w:val="21"/>
          <w:lang w:val="en-US" w:eastAsia="zh-CN"/>
        </w:rPr>
        <w:t>2.</w:t>
      </w:r>
      <w:r>
        <w:rPr>
          <w:rFonts w:eastAsia="黑体"/>
          <w:color w:val="000000"/>
          <w:szCs w:val="21"/>
        </w:rPr>
        <w:t>抽样方法</w:t>
      </w:r>
    </w:p>
    <w:p>
      <w:pPr>
        <w:spacing w:line="360" w:lineRule="auto"/>
        <w:ind w:firstLine="420" w:firstLineChars="200"/>
        <w:rPr>
          <w:rFonts w:hint="eastAsia" w:eastAsia="宋体"/>
          <w:szCs w:val="21"/>
          <w:lang w:val="en-US" w:eastAsia="zh-CN"/>
        </w:rPr>
      </w:pPr>
      <w:r>
        <w:rPr>
          <w:rFonts w:hint="eastAsia" w:eastAsia="宋体"/>
          <w:szCs w:val="21"/>
          <w:lang w:val="en-US" w:eastAsia="zh-CN"/>
        </w:rPr>
        <w:t>在企业的成品库或加油站随机抽取有产品质量检验合格证明或者以其它形式证明合格的产品。</w:t>
      </w:r>
    </w:p>
    <w:p>
      <w:pPr>
        <w:spacing w:line="360" w:lineRule="auto"/>
        <w:ind w:firstLine="420" w:firstLineChars="200"/>
        <w:rPr>
          <w:rFonts w:hint="default" w:eastAsia="宋体"/>
          <w:szCs w:val="21"/>
          <w:lang w:val="en-US" w:eastAsia="zh-CN"/>
        </w:rPr>
      </w:pPr>
      <w:r>
        <w:rPr>
          <w:rFonts w:hint="eastAsia" w:eastAsia="宋体"/>
          <w:szCs w:val="21"/>
          <w:lang w:val="en-US" w:eastAsia="zh-CN"/>
        </w:rPr>
        <w:t>取4L样品，其中检验样品2L，备用样品2L，盛装在合适的容器中；在加油站抽样时，直接从加油机油枪口取样，抽取样品数量和容器要求同上。</w:t>
      </w:r>
    </w:p>
    <w:p>
      <w:pPr>
        <w:spacing w:line="360" w:lineRule="auto"/>
        <w:ind w:firstLine="420" w:firstLineChars="200"/>
        <w:rPr>
          <w:rFonts w:hint="eastAsia"/>
          <w:szCs w:val="21"/>
          <w:lang w:val="en-US" w:eastAsia="zh-CN"/>
        </w:rPr>
      </w:pPr>
      <w:r>
        <w:rPr>
          <w:rFonts w:hint="eastAsia"/>
          <w:szCs w:val="21"/>
          <w:lang w:val="en-US" w:eastAsia="zh-CN"/>
        </w:rPr>
        <w:t>盛装油品所用的容器，必须完整、清洁、不漏、经检查符合要求后，方能使用。</w:t>
      </w:r>
    </w:p>
    <w:p>
      <w:pPr>
        <w:spacing w:line="360" w:lineRule="auto"/>
        <w:ind w:firstLine="420" w:firstLineChars="200"/>
        <w:rPr>
          <w:rFonts w:hint="eastAsia"/>
          <w:szCs w:val="21"/>
          <w:lang w:val="en-US" w:eastAsia="zh-CN"/>
        </w:rPr>
      </w:pPr>
      <w:r>
        <w:rPr>
          <w:rFonts w:hint="eastAsia"/>
          <w:szCs w:val="21"/>
          <w:lang w:val="en-US" w:eastAsia="zh-CN"/>
        </w:rPr>
        <w:t>对抽取的样品，在封条上分别注明“检验样品”与“备用样品”，当场对样品的桶口或瓶口密封。抽取的样品按运输条件包装好，由抽样小组通过合适的途径送达检验机构，运输时严防雨淋、日晒、受潮。装卸时轻搬轻放，严禁掷抛。</w:t>
      </w:r>
    </w:p>
    <w:p>
      <w:pPr>
        <w:spacing w:line="360" w:lineRule="auto"/>
        <w:ind w:firstLine="420" w:firstLineChars="200"/>
        <w:rPr>
          <w:rFonts w:hint="eastAsia"/>
          <w:szCs w:val="21"/>
          <w:lang w:val="en-US" w:eastAsia="zh-CN"/>
        </w:rPr>
      </w:pPr>
      <w:r>
        <w:rPr>
          <w:rFonts w:hint="eastAsia"/>
          <w:szCs w:val="21"/>
          <w:lang w:val="en-US" w:eastAsia="zh-CN"/>
        </w:rPr>
        <w:t>备用样品应该贮存在阴凉、干燥、安全、避光处，在整个保存期间应保证签封完整无损。</w:t>
      </w:r>
    </w:p>
    <w:p>
      <w:pPr>
        <w:snapToGrid w:val="0"/>
        <w:spacing w:line="440" w:lineRule="exact"/>
        <w:rPr>
          <w:rFonts w:eastAsia="黑体"/>
          <w:color w:val="000000"/>
          <w:szCs w:val="21"/>
        </w:rPr>
      </w:pPr>
      <w:r>
        <w:rPr>
          <w:rFonts w:hint="eastAsia" w:eastAsia="黑体"/>
          <w:color w:val="000000"/>
          <w:szCs w:val="21"/>
          <w:lang w:val="en-US" w:eastAsia="zh-CN"/>
        </w:rPr>
        <w:t>3.</w:t>
      </w:r>
      <w:r>
        <w:rPr>
          <w:rFonts w:eastAsia="黑体"/>
          <w:color w:val="000000"/>
          <w:szCs w:val="21"/>
        </w:rPr>
        <w:t>检验依据</w:t>
      </w:r>
    </w:p>
    <w:tbl>
      <w:tblPr>
        <w:tblStyle w:val="5"/>
        <w:tblW w:w="4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363"/>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45" w:type="pct"/>
            <w:vAlign w:val="center"/>
          </w:tcPr>
          <w:p>
            <w:pPr>
              <w:snapToGrid w:val="0"/>
              <w:jc w:val="center"/>
              <w:rPr>
                <w:color w:val="000000"/>
                <w:szCs w:val="21"/>
              </w:rPr>
            </w:pPr>
            <w:r>
              <w:rPr>
                <w:color w:val="000000"/>
                <w:szCs w:val="21"/>
              </w:rPr>
              <w:t>序号</w:t>
            </w:r>
          </w:p>
        </w:tc>
        <w:tc>
          <w:tcPr>
            <w:tcW w:w="2714" w:type="pct"/>
            <w:vAlign w:val="center"/>
          </w:tcPr>
          <w:p>
            <w:pPr>
              <w:snapToGrid w:val="0"/>
              <w:jc w:val="center"/>
              <w:rPr>
                <w:color w:val="000000"/>
                <w:szCs w:val="21"/>
              </w:rPr>
            </w:pPr>
            <w:r>
              <w:rPr>
                <w:color w:val="000000"/>
                <w:szCs w:val="21"/>
              </w:rPr>
              <w:t>检验项目</w:t>
            </w:r>
          </w:p>
        </w:tc>
        <w:tc>
          <w:tcPr>
            <w:tcW w:w="1739" w:type="pct"/>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vAlign w:val="center"/>
          </w:tcPr>
          <w:p>
            <w:pPr>
              <w:jc w:val="center"/>
              <w:rPr>
                <w:bCs/>
                <w:color w:val="000000"/>
                <w:szCs w:val="21"/>
              </w:rPr>
            </w:pPr>
            <w:r>
              <w:rPr>
                <w:bCs/>
                <w:color w:val="000000"/>
                <w:szCs w:val="21"/>
              </w:rPr>
              <w:t>1</w:t>
            </w:r>
          </w:p>
        </w:tc>
        <w:tc>
          <w:tcPr>
            <w:tcW w:w="2714" w:type="pct"/>
            <w:vAlign w:val="center"/>
          </w:tcPr>
          <w:p>
            <w:pPr>
              <w:jc w:val="center"/>
              <w:rPr>
                <w:rFonts w:hint="eastAsia"/>
                <w:bCs/>
                <w:color w:val="000000"/>
                <w:szCs w:val="21"/>
                <w:lang w:val="en-US" w:eastAsia="zh-CN"/>
              </w:rPr>
            </w:pPr>
            <w:r>
              <w:rPr>
                <w:rFonts w:hint="eastAsia"/>
                <w:bCs/>
                <w:color w:val="000000"/>
                <w:szCs w:val="21"/>
                <w:lang w:val="en-US" w:eastAsia="zh-CN"/>
              </w:rPr>
              <w:t>硫含量</w:t>
            </w:r>
          </w:p>
        </w:tc>
        <w:tc>
          <w:tcPr>
            <w:tcW w:w="1739" w:type="pct"/>
            <w:vAlign w:val="center"/>
          </w:tcPr>
          <w:p>
            <w:pPr>
              <w:jc w:val="center"/>
              <w:rPr>
                <w:rFonts w:hint="eastAsia"/>
                <w:bCs/>
                <w:color w:val="000000"/>
                <w:szCs w:val="21"/>
                <w:lang w:val="de-DE" w:eastAsia="zh-CN"/>
              </w:rPr>
            </w:pPr>
            <w:r>
              <w:rPr>
                <w:rFonts w:hint="eastAsia"/>
                <w:bCs/>
                <w:color w:val="000000"/>
                <w:szCs w:val="21"/>
                <w:lang w:val="en-US" w:eastAsia="zh-CN"/>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vAlign w:val="center"/>
          </w:tcPr>
          <w:p>
            <w:pPr>
              <w:jc w:val="center"/>
              <w:rPr>
                <w:bCs/>
                <w:color w:val="000000"/>
                <w:szCs w:val="21"/>
              </w:rPr>
            </w:pPr>
            <w:r>
              <w:rPr>
                <w:bCs/>
                <w:color w:val="000000"/>
                <w:szCs w:val="21"/>
              </w:rPr>
              <w:t>2</w:t>
            </w:r>
          </w:p>
        </w:tc>
        <w:tc>
          <w:tcPr>
            <w:tcW w:w="2714" w:type="pct"/>
            <w:vAlign w:val="center"/>
          </w:tcPr>
          <w:p>
            <w:pPr>
              <w:jc w:val="center"/>
              <w:rPr>
                <w:rFonts w:hint="eastAsia"/>
                <w:bCs/>
                <w:color w:val="000000"/>
                <w:szCs w:val="21"/>
                <w:lang w:val="en-US" w:eastAsia="zh-CN"/>
              </w:rPr>
            </w:pPr>
            <w:r>
              <w:rPr>
                <w:rFonts w:hint="eastAsia"/>
                <w:bCs/>
                <w:color w:val="000000"/>
                <w:szCs w:val="21"/>
                <w:lang w:val="en-US" w:eastAsia="zh-CN"/>
              </w:rPr>
              <w:t>密度（20℃）</w:t>
            </w:r>
          </w:p>
        </w:tc>
        <w:tc>
          <w:tcPr>
            <w:tcW w:w="1739" w:type="pct"/>
            <w:vAlign w:val="center"/>
          </w:tcPr>
          <w:p>
            <w:pPr>
              <w:jc w:val="center"/>
              <w:rPr>
                <w:rFonts w:hint="eastAsia"/>
                <w:bCs/>
                <w:color w:val="000000"/>
                <w:szCs w:val="21"/>
                <w:lang w:val="en-US" w:eastAsia="zh-CN"/>
              </w:rPr>
            </w:pPr>
            <w:r>
              <w:rPr>
                <w:rFonts w:hint="eastAsia"/>
                <w:bCs/>
                <w:color w:val="000000"/>
                <w:szCs w:val="21"/>
                <w:lang w:val="en-US" w:eastAsia="zh-CN"/>
              </w:rPr>
              <w:t>GB/T 1884-2000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vAlign w:val="center"/>
          </w:tcPr>
          <w:p>
            <w:pPr>
              <w:jc w:val="center"/>
              <w:rPr>
                <w:bCs/>
                <w:color w:val="000000"/>
                <w:szCs w:val="21"/>
              </w:rPr>
            </w:pPr>
            <w:r>
              <w:rPr>
                <w:bCs/>
                <w:color w:val="000000"/>
                <w:szCs w:val="21"/>
              </w:rPr>
              <w:t>3</w:t>
            </w:r>
          </w:p>
        </w:tc>
        <w:tc>
          <w:tcPr>
            <w:tcW w:w="2714" w:type="pct"/>
            <w:vAlign w:val="center"/>
          </w:tcPr>
          <w:p>
            <w:pPr>
              <w:jc w:val="center"/>
              <w:rPr>
                <w:rFonts w:hint="eastAsia"/>
                <w:bCs/>
                <w:color w:val="000000"/>
                <w:szCs w:val="21"/>
                <w:lang w:val="en-US" w:eastAsia="zh-CN"/>
              </w:rPr>
            </w:pPr>
            <w:r>
              <w:rPr>
                <w:rFonts w:hint="eastAsia"/>
                <w:bCs/>
                <w:color w:val="000000"/>
                <w:szCs w:val="21"/>
                <w:lang w:val="en-US" w:eastAsia="zh-CN"/>
              </w:rPr>
              <w:t>水溶性酸或碱</w:t>
            </w:r>
          </w:p>
        </w:tc>
        <w:tc>
          <w:tcPr>
            <w:tcW w:w="1739" w:type="pct"/>
            <w:vAlign w:val="center"/>
          </w:tcPr>
          <w:p>
            <w:pPr>
              <w:jc w:val="center"/>
              <w:rPr>
                <w:rFonts w:hint="eastAsia"/>
                <w:bCs/>
                <w:color w:val="000000"/>
                <w:szCs w:val="21"/>
                <w:lang w:val="en-US" w:eastAsia="zh-CN"/>
              </w:rPr>
            </w:pPr>
            <w:r>
              <w:rPr>
                <w:rFonts w:hint="eastAsia"/>
                <w:bCs/>
                <w:color w:val="000000"/>
                <w:szCs w:val="21"/>
                <w:lang w:val="en-US" w:eastAsia="zh-CN"/>
              </w:rPr>
              <w:t>GB/T 259-1988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vAlign w:val="center"/>
          </w:tcPr>
          <w:p>
            <w:pPr>
              <w:jc w:val="center"/>
              <w:rPr>
                <w:bCs/>
                <w:color w:val="000000"/>
                <w:szCs w:val="21"/>
              </w:rPr>
            </w:pPr>
            <w:r>
              <w:rPr>
                <w:bCs/>
                <w:color w:val="000000"/>
                <w:szCs w:val="21"/>
              </w:rPr>
              <w:t>4</w:t>
            </w:r>
          </w:p>
        </w:tc>
        <w:tc>
          <w:tcPr>
            <w:tcW w:w="2714" w:type="pct"/>
            <w:vAlign w:val="center"/>
          </w:tcPr>
          <w:p>
            <w:pPr>
              <w:jc w:val="center"/>
              <w:rPr>
                <w:rFonts w:hint="eastAsia"/>
                <w:bCs/>
                <w:color w:val="000000"/>
                <w:szCs w:val="21"/>
                <w:lang w:val="en-US" w:eastAsia="zh-CN"/>
              </w:rPr>
            </w:pPr>
            <w:r>
              <w:rPr>
                <w:rFonts w:hint="eastAsia"/>
                <w:bCs/>
                <w:color w:val="000000"/>
                <w:szCs w:val="21"/>
                <w:lang w:val="en-US" w:eastAsia="zh-CN"/>
              </w:rPr>
              <w:t>铜片腐蚀（50℃，3h）</w:t>
            </w:r>
          </w:p>
        </w:tc>
        <w:tc>
          <w:tcPr>
            <w:tcW w:w="1739" w:type="pct"/>
            <w:vAlign w:val="center"/>
          </w:tcPr>
          <w:p>
            <w:pPr>
              <w:jc w:val="center"/>
              <w:rPr>
                <w:rFonts w:hint="eastAsia"/>
                <w:bCs/>
                <w:color w:val="000000"/>
                <w:szCs w:val="21"/>
                <w:lang w:val="en-US" w:eastAsia="zh-CN"/>
              </w:rPr>
            </w:pPr>
            <w:r>
              <w:rPr>
                <w:rFonts w:hint="eastAsia"/>
                <w:bCs/>
                <w:color w:val="000000"/>
                <w:szCs w:val="21"/>
                <w:lang w:val="en-US" w:eastAsia="zh-CN"/>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vAlign w:val="center"/>
          </w:tcPr>
          <w:p>
            <w:pPr>
              <w:jc w:val="center"/>
              <w:rPr>
                <w:bCs/>
                <w:color w:val="000000"/>
                <w:szCs w:val="21"/>
              </w:rPr>
            </w:pPr>
            <w:r>
              <w:rPr>
                <w:bCs/>
                <w:color w:val="000000"/>
                <w:szCs w:val="21"/>
              </w:rPr>
              <w:t>5</w:t>
            </w:r>
          </w:p>
        </w:tc>
        <w:tc>
          <w:tcPr>
            <w:tcW w:w="2714" w:type="pct"/>
            <w:vAlign w:val="center"/>
          </w:tcPr>
          <w:p>
            <w:pPr>
              <w:jc w:val="center"/>
              <w:rPr>
                <w:rFonts w:hint="eastAsia"/>
                <w:bCs/>
                <w:color w:val="000000"/>
                <w:szCs w:val="21"/>
                <w:lang w:val="en-US" w:eastAsia="zh-CN"/>
              </w:rPr>
            </w:pPr>
            <w:r>
              <w:rPr>
                <w:rFonts w:hint="eastAsia"/>
                <w:bCs/>
                <w:color w:val="000000"/>
                <w:szCs w:val="21"/>
                <w:lang w:val="en-US" w:eastAsia="zh-CN"/>
              </w:rPr>
              <w:t>乙醇含量（体积分数）</w:t>
            </w:r>
          </w:p>
        </w:tc>
        <w:tc>
          <w:tcPr>
            <w:tcW w:w="1739" w:type="pct"/>
            <w:vAlign w:val="center"/>
          </w:tcPr>
          <w:p>
            <w:pPr>
              <w:jc w:val="center"/>
              <w:rPr>
                <w:rFonts w:hint="eastAsia"/>
                <w:bCs/>
                <w:color w:val="000000"/>
                <w:szCs w:val="21"/>
                <w:lang w:val="de-DE" w:eastAsia="zh-CN"/>
              </w:rPr>
            </w:pPr>
            <w:r>
              <w:rPr>
                <w:rFonts w:hint="eastAsia"/>
                <w:bCs/>
                <w:color w:val="000000"/>
                <w:szCs w:val="21"/>
                <w:lang w:val="en-US" w:eastAsia="zh-CN"/>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pct"/>
            <w:vAlign w:val="center"/>
          </w:tcPr>
          <w:p>
            <w:pPr>
              <w:jc w:val="center"/>
              <w:rPr>
                <w:bCs/>
                <w:color w:val="000000"/>
                <w:szCs w:val="21"/>
              </w:rPr>
            </w:pPr>
            <w:r>
              <w:rPr>
                <w:bCs/>
                <w:color w:val="000000"/>
                <w:szCs w:val="21"/>
              </w:rPr>
              <w:t>6</w:t>
            </w:r>
          </w:p>
        </w:tc>
        <w:tc>
          <w:tcPr>
            <w:tcW w:w="2714" w:type="pct"/>
            <w:vAlign w:val="center"/>
          </w:tcPr>
          <w:p>
            <w:pPr>
              <w:jc w:val="center"/>
              <w:rPr>
                <w:rFonts w:hint="eastAsia"/>
                <w:bCs/>
                <w:color w:val="000000"/>
                <w:szCs w:val="21"/>
                <w:lang w:val="en-US" w:eastAsia="zh-CN"/>
              </w:rPr>
            </w:pPr>
            <w:r>
              <w:rPr>
                <w:rFonts w:hint="eastAsia"/>
                <w:bCs/>
                <w:color w:val="000000"/>
                <w:szCs w:val="21"/>
                <w:lang w:val="en-US" w:eastAsia="zh-CN"/>
              </w:rPr>
              <w:t>其他有机含氧化合物含量（质量分数）</w:t>
            </w:r>
          </w:p>
        </w:tc>
        <w:tc>
          <w:tcPr>
            <w:tcW w:w="1739" w:type="pct"/>
            <w:vAlign w:val="center"/>
          </w:tcPr>
          <w:p>
            <w:pPr>
              <w:jc w:val="center"/>
              <w:rPr>
                <w:rFonts w:hint="eastAsia"/>
                <w:bCs/>
                <w:color w:val="000000"/>
                <w:szCs w:val="21"/>
                <w:lang w:val="de-DE" w:eastAsia="zh-CN"/>
              </w:rPr>
            </w:pPr>
            <w:r>
              <w:rPr>
                <w:rFonts w:hint="eastAsia"/>
                <w:bCs/>
                <w:color w:val="000000"/>
                <w:szCs w:val="21"/>
                <w:lang w:val="en-US" w:eastAsia="zh-CN"/>
              </w:rPr>
              <w:t>NB/SH/T 0663-2014</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pacing w:line="440" w:lineRule="exact"/>
        <w:ind w:firstLine="420" w:firstLineChars="200"/>
        <w:rPr>
          <w:rFonts w:eastAsia="黑体"/>
          <w:color w:val="000000"/>
          <w:szCs w:val="21"/>
        </w:rPr>
      </w:pPr>
      <w:r>
        <w:rPr>
          <w:rFonts w:hint="eastAsia" w:ascii="宋体" w:hAnsi="宋体"/>
          <w:color w:val="000000"/>
        </w:rPr>
        <w:t>凡是注日期的文件，其随后所有的修改单（不包括勘误的内容）或修订版不适用于本细则。凡是不注日期的文件，其最新版本适用于本细则。</w:t>
      </w:r>
    </w:p>
    <w:p>
      <w:pPr>
        <w:spacing w:line="440" w:lineRule="exact"/>
        <w:rPr>
          <w:rFonts w:eastAsia="黑体"/>
          <w:color w:val="000000"/>
          <w:szCs w:val="21"/>
        </w:rPr>
      </w:pPr>
      <w:r>
        <w:rPr>
          <w:rFonts w:hint="eastAsia" w:eastAsia="黑体"/>
          <w:color w:val="000000"/>
          <w:szCs w:val="21"/>
          <w:lang w:val="en-US" w:eastAsia="zh-CN"/>
        </w:rPr>
        <w:t>4.</w:t>
      </w:r>
      <w:r>
        <w:rPr>
          <w:rFonts w:eastAsia="黑体"/>
          <w:color w:val="000000"/>
          <w:szCs w:val="21"/>
        </w:rPr>
        <w:t>判定规则</w:t>
      </w:r>
    </w:p>
    <w:p>
      <w:pPr>
        <w:snapToGrid w:val="0"/>
        <w:spacing w:line="440" w:lineRule="exact"/>
        <w:rPr>
          <w:color w:val="000000"/>
          <w:szCs w:val="21"/>
        </w:rPr>
      </w:pPr>
      <w:r>
        <w:rPr>
          <w:rFonts w:hint="eastAsia"/>
          <w:color w:val="000000"/>
          <w:szCs w:val="21"/>
          <w:lang w:val="en-US" w:eastAsia="zh-CN"/>
        </w:rPr>
        <w:t>4</w:t>
      </w:r>
      <w:r>
        <w:rPr>
          <w:color w:val="000000"/>
          <w:szCs w:val="21"/>
        </w:rPr>
        <w:t>.1依据标准</w:t>
      </w:r>
    </w:p>
    <w:p>
      <w:pPr>
        <w:spacing w:line="440" w:lineRule="exact"/>
        <w:ind w:firstLine="420" w:firstLineChars="200"/>
        <w:rPr>
          <w:szCs w:val="21"/>
        </w:rPr>
      </w:pPr>
      <w:r>
        <w:rPr>
          <w:rFonts w:hint="eastAsia"/>
          <w:szCs w:val="21"/>
          <w:lang w:val="en-US" w:eastAsia="zh-CN"/>
        </w:rPr>
        <w:t>GB 18351-2017 车用乙醇汽油（E10）</w:t>
      </w:r>
    </w:p>
    <w:p>
      <w:pPr>
        <w:snapToGrid w:val="0"/>
        <w:spacing w:line="440" w:lineRule="exact"/>
        <w:ind w:firstLine="359"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rFonts w:hint="eastAsia"/>
          <w:color w:val="000000"/>
          <w:szCs w:val="21"/>
          <w:lang w:val="en-US" w:eastAsia="zh-CN"/>
        </w:rPr>
        <w:t>4</w:t>
      </w:r>
      <w:r>
        <w:rPr>
          <w:color w:val="000000"/>
          <w:szCs w:val="21"/>
        </w:rPr>
        <w:t>.2判定原则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bookmarkStart w:id="0" w:name="_GoBack"/>
      <w:bookmarkEnd w:id="0"/>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lang w:val="en-US" w:eastAsia="zh-CN"/>
        </w:rPr>
      </w:pPr>
      <w:r>
        <w:rPr>
          <w:color w:val="000000"/>
          <w:szCs w:val="21"/>
        </w:rPr>
        <w:t>若被检产品明示的质量要求缺少本细则中检验项目依据的推荐性标准要求时，该项目不参与判定。</w:t>
      </w:r>
      <w:r>
        <w:rPr>
          <w:rFonts w:hint="default" w:ascii="Times New Roman" w:hAnsi="Times New Roman" w:eastAsia="黑体" w:cs="Times New Roman"/>
          <w:b w:val="0"/>
          <w:bCs w:val="0"/>
          <w:sz w:val="21"/>
          <w:szCs w:val="21"/>
          <w:lang w:val="en-US" w:eastAsia="zh-CN"/>
        </w:rPr>
        <w:t>5.异议处理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5.1对监督抽查程序有异议的，由市局核查相关证据后维持或者撤销原检验结果。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5.2对检验结果有异议的，市局核查相关证据，能够证明原检验结果准确的，维持原检验结果；不能证明原检验结果准确，需要进行复检的，由市局指定复检机构进行复检，复检结果为本次监督抽查最终结论。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5.3对样品信息有异议的，市局核查样品确认情况和被抽样单位提交证明材料后，维持或者撤销原检验结果。</w:t>
      </w:r>
    </w:p>
    <w:p>
      <w:pPr>
        <w:snapToGrid w:val="0"/>
        <w:spacing w:line="440" w:lineRule="exact"/>
        <w:ind w:firstLine="417" w:firstLineChars="199"/>
        <w:rPr>
          <w:color w:val="00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NmE0OTNiMjE1ZTg2OGJjZjliNTIxNzYzZmVhNmEifQ=="/>
  </w:docVars>
  <w:rsids>
    <w:rsidRoot w:val="7F9C16DC"/>
    <w:rsid w:val="000C30E8"/>
    <w:rsid w:val="0025434E"/>
    <w:rsid w:val="002F2F1A"/>
    <w:rsid w:val="0033358D"/>
    <w:rsid w:val="00426C9D"/>
    <w:rsid w:val="004F0935"/>
    <w:rsid w:val="005354AA"/>
    <w:rsid w:val="006C6943"/>
    <w:rsid w:val="0084166F"/>
    <w:rsid w:val="00A27CC2"/>
    <w:rsid w:val="00C16C55"/>
    <w:rsid w:val="05883C21"/>
    <w:rsid w:val="1B5D0F79"/>
    <w:rsid w:val="1DD548B9"/>
    <w:rsid w:val="370A78CF"/>
    <w:rsid w:val="476A094B"/>
    <w:rsid w:val="4EF84082"/>
    <w:rsid w:val="5FB720E7"/>
    <w:rsid w:val="67752B2A"/>
    <w:rsid w:val="797DE5EC"/>
    <w:rsid w:val="7F9C16DC"/>
    <w:rsid w:val="EDE7D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395</Words>
  <Characters>2258</Characters>
  <Lines>18</Lines>
  <Paragraphs>5</Paragraphs>
  <TotalTime>0</TotalTime>
  <ScaleCrop>false</ScaleCrop>
  <LinksUpToDate>false</LinksUpToDate>
  <CharactersWithSpaces>2648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2023-03-06T09:36:00Z</dcterms:created>
  <dc:creator>谭凝</dc:creator>
  <cp:lastModifiedBy>uos</cp:lastModifiedBy>
  <dcterms:modified xsi:type="dcterms:W3CDTF">2024-04-22T17:00:08Z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DD9DD4E3F0854B59AF6EBE3F322F48E9_13</vt:lpwstr>
  </property>
</Properties>
</file>