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小标宋简体" w:cs="Times New Roman"/>
          <w:color w:val="000000"/>
          <w:sz w:val="32"/>
          <w:szCs w:val="32"/>
          <w:lang w:eastAsia="zh-CN"/>
        </w:rPr>
      </w:pPr>
      <w:r>
        <w:rPr>
          <w:rFonts w:hint="eastAsia" w:eastAsia="方正小标宋简体" w:cs="Times New Roman"/>
          <w:color w:val="000000"/>
          <w:sz w:val="32"/>
          <w:szCs w:val="32"/>
        </w:rPr>
        <w:t>廊坊市</w:t>
      </w:r>
      <w:r>
        <w:rPr>
          <w:rFonts w:hint="eastAsia" w:eastAsia="方正小标宋简体" w:cs="Times New Roman"/>
          <w:color w:val="000000"/>
          <w:sz w:val="32"/>
          <w:szCs w:val="32"/>
          <w:lang w:val="en-US" w:eastAsia="zh-CN"/>
        </w:rPr>
        <w:t>车用尿素</w:t>
      </w:r>
      <w:r>
        <w:rPr>
          <w:rFonts w:hint="eastAsia" w:eastAsia="方正小标宋简体" w:cs="Times New Roman"/>
          <w:color w:val="000000"/>
          <w:sz w:val="32"/>
          <w:szCs w:val="32"/>
        </w:rPr>
        <w:t>产品质量监督抽查</w:t>
      </w:r>
      <w:r>
        <w:rPr>
          <w:rFonts w:hint="eastAsia" w:eastAsia="方正小标宋简体" w:cs="Times New Roman"/>
          <w:color w:val="000000"/>
          <w:sz w:val="32"/>
          <w:szCs w:val="32"/>
          <w:lang w:eastAsia="zh-CN"/>
        </w:rPr>
        <w:t>实施细则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color w:val="000000"/>
          <w:sz w:val="32"/>
          <w:szCs w:val="32"/>
        </w:rPr>
      </w:pPr>
      <w:r>
        <w:rPr>
          <w:rFonts w:eastAsia="方正小标宋简体"/>
          <w:color w:val="000000"/>
          <w:sz w:val="32"/>
          <w:szCs w:val="32"/>
        </w:rPr>
        <w:t>（202</w:t>
      </w:r>
      <w:r>
        <w:rPr>
          <w:rFonts w:hint="eastAsia" w:eastAsia="方正小标宋简体"/>
          <w:color w:val="000000"/>
          <w:sz w:val="32"/>
          <w:szCs w:val="32"/>
          <w:lang w:val="en-US" w:eastAsia="zh-CN"/>
        </w:rPr>
        <w:t>4</w:t>
      </w:r>
      <w:r>
        <w:rPr>
          <w:rFonts w:eastAsia="方正小标宋简体"/>
          <w:color w:val="000000"/>
          <w:sz w:val="32"/>
          <w:szCs w:val="32"/>
        </w:rPr>
        <w:t>年版）</w:t>
      </w:r>
    </w:p>
    <w:p>
      <w:pPr>
        <w:keepNext w:val="0"/>
        <w:keepLines w:val="0"/>
        <w:pageBreakBefore w:val="0"/>
        <w:widowControl w:val="0"/>
        <w:kinsoku/>
        <w:wordWrap/>
        <w:overflowPunct/>
        <w:topLinePunct w:val="0"/>
        <w:autoSpaceDE/>
        <w:autoSpaceDN/>
        <w:bidi w:val="0"/>
        <w:snapToGrid w:val="0"/>
        <w:spacing w:line="400" w:lineRule="exact"/>
        <w:textAlignment w:val="auto"/>
        <w:rPr>
          <w:rFonts w:hint="eastAsia" w:ascii="Times New Roman" w:hAnsi="Times New Roman" w:eastAsia="黑体" w:cs="Times New Roman"/>
          <w:color w:val="000000"/>
          <w:sz w:val="21"/>
          <w:szCs w:val="21"/>
        </w:rPr>
      </w:pPr>
    </w:p>
    <w:p>
      <w:pPr>
        <w:keepNext w:val="0"/>
        <w:keepLines w:val="0"/>
        <w:pageBreakBefore w:val="0"/>
        <w:widowControl w:val="0"/>
        <w:kinsoku/>
        <w:wordWrap/>
        <w:overflowPunct/>
        <w:topLinePunct w:val="0"/>
        <w:autoSpaceDE/>
        <w:autoSpaceDN/>
        <w:bidi w:val="0"/>
        <w:snapToGrid w:val="0"/>
        <w:spacing w:line="400" w:lineRule="exact"/>
        <w:textAlignment w:val="auto"/>
        <w:rPr>
          <w:rFonts w:hint="eastAsia" w:ascii="Times New Roman" w:hAnsi="Times New Roman" w:eastAsia="黑体" w:cs="Times New Roman"/>
          <w:color w:val="000000"/>
          <w:sz w:val="21"/>
          <w:szCs w:val="21"/>
        </w:rPr>
      </w:pPr>
      <w:r>
        <w:rPr>
          <w:rFonts w:hint="eastAsia" w:ascii="Times New Roman" w:hAnsi="Times New Roman" w:eastAsia="黑体" w:cs="Times New Roman"/>
          <w:color w:val="000000"/>
          <w:sz w:val="21"/>
          <w:szCs w:val="21"/>
        </w:rPr>
        <w:t>1.范围</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本细则适用于廊坊市市场监督管理局（以下称市局）组织的车用尿素产品质量监督抽查检验。</w:t>
      </w:r>
    </w:p>
    <w:p>
      <w:pPr>
        <w:keepNext w:val="0"/>
        <w:keepLines w:val="0"/>
        <w:pageBreakBefore w:val="0"/>
        <w:widowControl w:val="0"/>
        <w:kinsoku/>
        <w:wordWrap/>
        <w:overflowPunct/>
        <w:topLinePunct w:val="0"/>
        <w:autoSpaceDE/>
        <w:autoSpaceDN/>
        <w:bidi w:val="0"/>
        <w:snapToGrid w:val="0"/>
        <w:spacing w:line="400" w:lineRule="exact"/>
        <w:textAlignment w:val="auto"/>
        <w:rPr>
          <w:rFonts w:hint="eastAsia" w:ascii="Times New Roman" w:hAnsi="Times New Roman" w:eastAsia="黑体" w:cs="Times New Roman"/>
          <w:color w:val="000000"/>
          <w:sz w:val="21"/>
          <w:szCs w:val="21"/>
        </w:rPr>
      </w:pPr>
      <w:r>
        <w:rPr>
          <w:rFonts w:hint="eastAsia" w:ascii="Times New Roman" w:hAnsi="Times New Roman" w:eastAsia="黑体" w:cs="Times New Roman"/>
          <w:color w:val="000000"/>
          <w:sz w:val="21"/>
          <w:szCs w:val="21"/>
        </w:rPr>
        <w:t>2.抽样方法</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imes New Roman" w:hAnsi="Times New Roman" w:cs="Times New Roman"/>
          <w:color w:val="auto"/>
          <w:sz w:val="21"/>
          <w:szCs w:val="21"/>
          <w:lang w:eastAsia="zh-CN"/>
        </w:rPr>
      </w:pPr>
      <w:r>
        <w:rPr>
          <w:rFonts w:hint="eastAsia" w:ascii="Times New Roman" w:hAnsi="Times New Roman" w:cs="Times New Roman"/>
          <w:color w:val="auto"/>
          <w:sz w:val="21"/>
          <w:szCs w:val="21"/>
          <w:lang w:eastAsia="zh-CN"/>
        </w:rPr>
        <w:t>在受检单位的成品仓库或者其确认场所，随机抽取有产品质量检验合格证明或者其他形式表明合格的待销产品，抽样基数应满足抽样要求。抽样过程均需拍照留证。一经抽样，立即封样，任何人不得调换。</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color w:val="auto"/>
          <w:sz w:val="21"/>
          <w:szCs w:val="18"/>
          <w:lang w:eastAsia="zh-CN"/>
        </w:rPr>
      </w:pPr>
      <w:r>
        <w:rPr>
          <w:rFonts w:hint="default" w:ascii="Times New Roman" w:hAnsi="Times New Roman" w:cs="Times New Roman" w:eastAsiaTheme="minorEastAsia"/>
          <w:color w:val="auto"/>
          <w:sz w:val="21"/>
          <w:szCs w:val="21"/>
        </w:rPr>
        <w:t>以随机抽样的方式抽取样品</w:t>
      </w:r>
      <w:r>
        <w:rPr>
          <w:rFonts w:hint="default" w:ascii="Times New Roman" w:hAnsi="Times New Roman" w:cs="Times New Roman"/>
          <w:color w:val="auto"/>
          <w:sz w:val="21"/>
          <w:szCs w:val="21"/>
          <w:lang w:eastAsia="zh-CN"/>
        </w:rPr>
        <w:t>，随机数一般可使用投骰子或随机数表等方法产生。</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ascii="Times New Roman" w:hAnsi="Times New Roman" w:eastAsia="宋体" w:cs="Times New Roman"/>
          <w:color w:val="000000"/>
          <w:sz w:val="21"/>
          <w:szCs w:val="21"/>
        </w:rPr>
      </w:pPr>
      <w:r>
        <w:rPr>
          <w:rFonts w:ascii="Times New Roman" w:hAnsi="Times New Roman" w:eastAsia="宋体" w:cs="Times New Roman"/>
          <w:color w:val="000000"/>
          <w:sz w:val="21"/>
          <w:szCs w:val="21"/>
        </w:rPr>
        <w:t>抽取2份独立包装</w:t>
      </w:r>
      <w:r>
        <w:rPr>
          <w:rFonts w:hint="eastAsia" w:ascii="Times New Roman" w:hAnsi="Times New Roman" w:eastAsia="宋体" w:cs="Times New Roman"/>
          <w:color w:val="000000"/>
          <w:sz w:val="21"/>
          <w:szCs w:val="21"/>
          <w:lang w:eastAsia="zh-CN"/>
        </w:rPr>
        <w:t>的产品，且每份</w:t>
      </w:r>
      <w:r>
        <w:rPr>
          <w:rFonts w:ascii="Times New Roman" w:hAnsi="Times New Roman" w:eastAsia="宋体" w:cs="Times New Roman"/>
          <w:color w:val="000000"/>
          <w:sz w:val="21"/>
          <w:szCs w:val="21"/>
        </w:rPr>
        <w:t>不少于2L</w:t>
      </w:r>
      <w:r>
        <w:rPr>
          <w:rFonts w:hint="eastAsia" w:ascii="Times New Roman" w:hAnsi="Times New Roman" w:eastAsia="宋体" w:cs="Times New Roman"/>
          <w:color w:val="000000"/>
          <w:sz w:val="21"/>
          <w:szCs w:val="21"/>
          <w:lang w:eastAsia="zh-CN"/>
        </w:rPr>
        <w:t>，其中</w:t>
      </w:r>
      <w:r>
        <w:rPr>
          <w:rFonts w:hint="eastAsia" w:asciiTheme="minorEastAsia" w:hAnsiTheme="minorEastAsia" w:eastAsiaTheme="minorEastAsia" w:cstheme="minorEastAsia"/>
          <w:color w:val="auto"/>
          <w:sz w:val="21"/>
          <w:szCs w:val="18"/>
        </w:rPr>
        <w:t>一份检验，一份备</w:t>
      </w:r>
      <w:r>
        <w:rPr>
          <w:rFonts w:hint="eastAsia" w:asciiTheme="minorEastAsia" w:hAnsiTheme="minorEastAsia" w:cstheme="minorEastAsia"/>
          <w:color w:val="auto"/>
          <w:sz w:val="21"/>
          <w:szCs w:val="18"/>
          <w:lang w:eastAsia="zh-CN"/>
        </w:rPr>
        <w:t>用</w:t>
      </w:r>
      <w:r>
        <w:rPr>
          <w:rFonts w:hint="eastAsia" w:asciiTheme="minorEastAsia" w:hAnsiTheme="minorEastAsia" w:eastAsiaTheme="minorEastAsia" w:cstheme="minorEastAsia"/>
          <w:color w:val="auto"/>
          <w:sz w:val="21"/>
          <w:szCs w:val="18"/>
        </w:rPr>
        <w:t>。</w:t>
      </w:r>
    </w:p>
    <w:p>
      <w:pPr>
        <w:rPr>
          <w:rFonts w:hint="default" w:ascii="Times New Roman" w:hAnsi="Times New Roman" w:eastAsia="黑体" w:cs="Times New Roman"/>
          <w:b w:val="0"/>
          <w:bCs w:val="0"/>
          <w:sz w:val="21"/>
          <w:szCs w:val="21"/>
          <w:lang w:eastAsia="zh-CN"/>
        </w:rPr>
      </w:pPr>
      <w:r>
        <w:rPr>
          <w:rFonts w:hint="eastAsia" w:ascii="Times New Roman" w:hAnsi="Times New Roman" w:eastAsia="黑体" w:cs="Times New Roman"/>
          <w:b w:val="0"/>
          <w:bCs w:val="0"/>
          <w:sz w:val="21"/>
          <w:szCs w:val="21"/>
          <w:lang w:val="en-US" w:eastAsia="zh-CN"/>
        </w:rPr>
        <w:t>3.</w:t>
      </w:r>
      <w:r>
        <w:rPr>
          <w:rFonts w:hint="default" w:ascii="Times New Roman" w:hAnsi="Times New Roman" w:eastAsia="黑体" w:cs="Times New Roman"/>
          <w:b w:val="0"/>
          <w:bCs w:val="0"/>
          <w:sz w:val="21"/>
          <w:szCs w:val="21"/>
        </w:rPr>
        <w:t>检验</w:t>
      </w:r>
      <w:r>
        <w:rPr>
          <w:rFonts w:hint="default" w:ascii="Times New Roman" w:hAnsi="Times New Roman" w:eastAsia="黑体" w:cs="Times New Roman"/>
          <w:b w:val="0"/>
          <w:bCs w:val="0"/>
          <w:sz w:val="21"/>
          <w:szCs w:val="21"/>
          <w:lang w:eastAsia="zh-CN"/>
        </w:rPr>
        <w:t>依据</w:t>
      </w:r>
    </w:p>
    <w:tbl>
      <w:tblPr>
        <w:tblStyle w:val="3"/>
        <w:tblpPr w:leftFromText="180" w:rightFromText="180" w:vertAnchor="text" w:horzAnchor="page" w:tblpX="1454" w:tblpY="157"/>
        <w:tblOverlap w:val="never"/>
        <w:tblW w:w="903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77"/>
        <w:gridCol w:w="3407"/>
        <w:gridCol w:w="3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20" w:lineRule="exact"/>
              <w:jc w:val="center"/>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b w:val="0"/>
                <w:bCs w:val="0"/>
                <w:sz w:val="21"/>
                <w:szCs w:val="21"/>
              </w:rPr>
              <w:t>产品名称</w:t>
            </w:r>
          </w:p>
        </w:tc>
        <w:tc>
          <w:tcPr>
            <w:tcW w:w="3407"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2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检验项目名称</w:t>
            </w:r>
          </w:p>
        </w:tc>
        <w:tc>
          <w:tcPr>
            <w:tcW w:w="3454" w:type="dxa"/>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320" w:lineRule="exact"/>
              <w:jc w:val="center"/>
              <w:textAlignment w:val="auto"/>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000000"/>
                <w:sz w:val="21"/>
                <w:szCs w:val="21"/>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Merge w:val="restart"/>
            <w:vAlign w:val="center"/>
          </w:tcPr>
          <w:p>
            <w:pPr>
              <w:keepNext w:val="0"/>
              <w:keepLines w:val="0"/>
              <w:pageBreakBefore w:val="0"/>
              <w:widowControl w:val="0"/>
              <w:kinsoku/>
              <w:wordWrap/>
              <w:overflowPunct/>
              <w:topLinePunct w:val="0"/>
              <w:autoSpaceDE/>
              <w:autoSpaceDN/>
              <w:bidi w:val="0"/>
              <w:adjustRightInd/>
              <w:spacing w:beforeAutospacing="0" w:afterAutospacing="0" w:line="320" w:lineRule="exact"/>
              <w:jc w:val="center"/>
              <w:textAlignment w:val="auto"/>
              <w:rPr>
                <w:rFonts w:hint="default" w:ascii="Times New Roman" w:hAnsi="Times New Roman" w:cs="Times New Roman" w:eastAsiaTheme="minorEastAsia"/>
                <w:color w:val="000000"/>
                <w:sz w:val="21"/>
                <w:szCs w:val="21"/>
                <w:lang w:eastAsia="zh-CN"/>
              </w:rPr>
            </w:pPr>
            <w:r>
              <w:rPr>
                <w:rFonts w:hint="default" w:ascii="Times New Roman" w:hAnsi="Times New Roman" w:cs="Times New Roman" w:eastAsiaTheme="minorEastAsia"/>
                <w:color w:val="000000"/>
                <w:sz w:val="21"/>
                <w:szCs w:val="21"/>
                <w:lang w:eastAsia="zh-CN"/>
              </w:rPr>
              <w:t>车用尿素</w:t>
            </w:r>
          </w:p>
        </w:tc>
        <w:tc>
          <w:tcPr>
            <w:tcW w:w="3407"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eastAsia="zh-CN" w:bidi="ar"/>
              </w:rPr>
              <w:t>折光率</w:t>
            </w:r>
          </w:p>
        </w:tc>
        <w:tc>
          <w:tcPr>
            <w:tcW w:w="3454" w:type="dxa"/>
            <w:vAlign w:val="center"/>
          </w:tcPr>
          <w:p>
            <w:pPr>
              <w:keepNext w:val="0"/>
              <w:keepLines w:val="0"/>
              <w:pageBreakBefore w:val="0"/>
              <w:widowControl w:val="0"/>
              <w:kinsoku/>
              <w:wordWrap/>
              <w:overflowPunct/>
              <w:topLinePunct w:val="0"/>
              <w:autoSpaceDE/>
              <w:autoSpaceDN/>
              <w:bidi w:val="0"/>
              <w:adjustRightInd/>
              <w:spacing w:line="320" w:lineRule="exact"/>
              <w:ind w:firstLine="1050" w:firstLineChars="500"/>
              <w:jc w:val="both"/>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val="en-US" w:eastAsia="zh-CN" w:bidi="ar"/>
              </w:rPr>
              <w:t>GB/T 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Merge w:val="continue"/>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sz w:val="21"/>
                <w:szCs w:val="21"/>
              </w:rPr>
            </w:pPr>
          </w:p>
        </w:tc>
        <w:tc>
          <w:tcPr>
            <w:tcW w:w="3407"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bidi="ar"/>
              </w:rPr>
              <w:t>尿素含量</w:t>
            </w:r>
          </w:p>
        </w:tc>
        <w:tc>
          <w:tcPr>
            <w:tcW w:w="3454"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cs="Times New Roman" w:eastAsiaTheme="minorEastAsia"/>
                <w:color w:val="000000"/>
                <w:kern w:val="0"/>
                <w:sz w:val="21"/>
                <w:szCs w:val="21"/>
                <w:lang w:bidi="ar"/>
              </w:rPr>
              <w:t>GB 29518附录A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Merge w:val="continue"/>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sz w:val="21"/>
                <w:szCs w:val="21"/>
              </w:rPr>
            </w:pPr>
          </w:p>
        </w:tc>
        <w:tc>
          <w:tcPr>
            <w:tcW w:w="3407"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bidi="ar"/>
              </w:rPr>
              <w:t>碱度</w:t>
            </w:r>
          </w:p>
        </w:tc>
        <w:tc>
          <w:tcPr>
            <w:tcW w:w="3454"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cs="Times New Roman" w:eastAsiaTheme="minorEastAsia"/>
                <w:color w:val="000000"/>
                <w:kern w:val="0"/>
                <w:sz w:val="21"/>
                <w:szCs w:val="21"/>
                <w:lang w:bidi="ar"/>
              </w:rPr>
              <w:t>GB 29518附录B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Merge w:val="continue"/>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sz w:val="21"/>
                <w:szCs w:val="21"/>
              </w:rPr>
            </w:pPr>
          </w:p>
        </w:tc>
        <w:tc>
          <w:tcPr>
            <w:tcW w:w="3407"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bidi="ar"/>
              </w:rPr>
              <w:t>缩二脲</w:t>
            </w:r>
          </w:p>
        </w:tc>
        <w:tc>
          <w:tcPr>
            <w:tcW w:w="3454" w:type="dxa"/>
            <w:vAlign w:val="center"/>
          </w:tcPr>
          <w:p>
            <w:pPr>
              <w:keepNext w:val="0"/>
              <w:keepLines w:val="0"/>
              <w:pageBreakBefore w:val="0"/>
              <w:widowControl w:val="0"/>
              <w:tabs>
                <w:tab w:val="center" w:pos="1496"/>
                <w:tab w:val="right" w:pos="2873"/>
              </w:tabs>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cs="Times New Roman" w:eastAsiaTheme="minorEastAsia"/>
                <w:color w:val="000000"/>
                <w:kern w:val="0"/>
                <w:sz w:val="21"/>
                <w:szCs w:val="21"/>
                <w:lang w:bidi="ar"/>
              </w:rPr>
              <w:t>GB 29518附录C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Merge w:val="continue"/>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sz w:val="21"/>
                <w:szCs w:val="21"/>
              </w:rPr>
            </w:pPr>
          </w:p>
        </w:tc>
        <w:tc>
          <w:tcPr>
            <w:tcW w:w="3407"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bidi="ar"/>
              </w:rPr>
              <w:t>醛类</w:t>
            </w:r>
          </w:p>
        </w:tc>
        <w:tc>
          <w:tcPr>
            <w:tcW w:w="3454"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cs="Times New Roman" w:eastAsiaTheme="minorEastAsia"/>
                <w:color w:val="000000"/>
                <w:kern w:val="0"/>
                <w:sz w:val="21"/>
                <w:szCs w:val="21"/>
                <w:lang w:bidi="ar"/>
              </w:rPr>
              <w:t>GB 29518附录D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Merge w:val="continue"/>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sz w:val="21"/>
                <w:szCs w:val="21"/>
              </w:rPr>
            </w:pPr>
          </w:p>
        </w:tc>
        <w:tc>
          <w:tcPr>
            <w:tcW w:w="3407"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bidi="ar"/>
              </w:rPr>
              <w:t>不溶物含量</w:t>
            </w:r>
          </w:p>
        </w:tc>
        <w:tc>
          <w:tcPr>
            <w:tcW w:w="3454"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cs="Times New Roman" w:eastAsiaTheme="minorEastAsia"/>
                <w:color w:val="000000"/>
                <w:kern w:val="0"/>
                <w:sz w:val="21"/>
                <w:szCs w:val="21"/>
                <w:lang w:bidi="ar"/>
              </w:rPr>
              <w:t>GB 29518附录E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Merge w:val="continue"/>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sz w:val="21"/>
                <w:szCs w:val="21"/>
              </w:rPr>
            </w:pPr>
          </w:p>
        </w:tc>
        <w:tc>
          <w:tcPr>
            <w:tcW w:w="3407"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bidi="ar"/>
              </w:rPr>
              <w:t>磷酸盐含量</w:t>
            </w:r>
          </w:p>
        </w:tc>
        <w:tc>
          <w:tcPr>
            <w:tcW w:w="3454"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cs="Times New Roman" w:eastAsiaTheme="minorEastAsia"/>
                <w:color w:val="000000"/>
                <w:kern w:val="0"/>
                <w:sz w:val="21"/>
                <w:szCs w:val="21"/>
                <w:lang w:bidi="ar"/>
              </w:rPr>
              <w:t>GB 29518附录F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Merge w:val="continue"/>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sz w:val="21"/>
                <w:szCs w:val="21"/>
              </w:rPr>
            </w:pPr>
          </w:p>
        </w:tc>
        <w:tc>
          <w:tcPr>
            <w:tcW w:w="3407"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bidi="ar"/>
              </w:rPr>
              <w:t>一致性确认</w:t>
            </w:r>
          </w:p>
        </w:tc>
        <w:tc>
          <w:tcPr>
            <w:tcW w:w="3454"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eastAsia" w:ascii="Times New Roman" w:hAnsi="Times New Roman" w:cs="Times New Roman"/>
                <w:color w:val="000000"/>
                <w:kern w:val="0"/>
                <w:sz w:val="21"/>
                <w:szCs w:val="21"/>
                <w:lang w:val="en-US" w:eastAsia="zh-CN" w:bidi="ar"/>
              </w:rPr>
              <w:t xml:space="preserve">    </w:t>
            </w:r>
            <w:r>
              <w:rPr>
                <w:rFonts w:hint="default" w:ascii="Times New Roman" w:hAnsi="Times New Roman" w:cs="Times New Roman" w:eastAsiaTheme="minorEastAsia"/>
                <w:color w:val="000000"/>
                <w:kern w:val="0"/>
                <w:sz w:val="21"/>
                <w:szCs w:val="21"/>
                <w:lang w:bidi="ar"/>
              </w:rPr>
              <w:t>GB 29518附录H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40" w:hRule="atLeast"/>
        </w:trPr>
        <w:tc>
          <w:tcPr>
            <w:tcW w:w="2177" w:type="dxa"/>
            <w:vMerge w:val="continue"/>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sz w:val="21"/>
                <w:szCs w:val="21"/>
              </w:rPr>
            </w:pPr>
          </w:p>
        </w:tc>
        <w:tc>
          <w:tcPr>
            <w:tcW w:w="3407" w:type="dxa"/>
            <w:vAlign w:val="center"/>
          </w:tcPr>
          <w:p>
            <w:pPr>
              <w:keepNext w:val="0"/>
              <w:keepLines w:val="0"/>
              <w:pageBreakBefore w:val="0"/>
              <w:widowControl w:val="0"/>
              <w:kinsoku/>
              <w:wordWrap/>
              <w:overflowPunct/>
              <w:topLinePunct w:val="0"/>
              <w:autoSpaceDE/>
              <w:autoSpaceDN/>
              <w:bidi w:val="0"/>
              <w:adjustRightInd/>
              <w:spacing w:line="320" w:lineRule="exact"/>
              <w:jc w:val="center"/>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bidi="ar"/>
              </w:rPr>
              <w:t>密度</w:t>
            </w:r>
          </w:p>
        </w:tc>
        <w:tc>
          <w:tcPr>
            <w:tcW w:w="3454" w:type="dxa"/>
            <w:vAlign w:val="center"/>
          </w:tcPr>
          <w:p>
            <w:pPr>
              <w:keepNext w:val="0"/>
              <w:keepLines w:val="0"/>
              <w:pageBreakBefore w:val="0"/>
              <w:widowControl w:val="0"/>
              <w:kinsoku/>
              <w:wordWrap/>
              <w:overflowPunct/>
              <w:topLinePunct w:val="0"/>
              <w:autoSpaceDE/>
              <w:autoSpaceDN/>
              <w:bidi w:val="0"/>
              <w:adjustRightInd/>
              <w:spacing w:line="320" w:lineRule="exact"/>
              <w:ind w:firstLine="1050" w:firstLineChars="500"/>
              <w:jc w:val="both"/>
              <w:textAlignment w:val="auto"/>
              <w:rPr>
                <w:rFonts w:hint="default" w:ascii="Times New Roman" w:hAnsi="Times New Roman" w:cs="Times New Roman" w:eastAsiaTheme="minorEastAsia"/>
                <w:color w:val="000000"/>
                <w:kern w:val="0"/>
                <w:sz w:val="21"/>
                <w:szCs w:val="21"/>
                <w:lang w:val="en-US" w:eastAsia="zh-CN" w:bidi="ar"/>
              </w:rPr>
            </w:pPr>
            <w:r>
              <w:rPr>
                <w:rFonts w:hint="default" w:ascii="Times New Roman" w:hAnsi="Times New Roman" w:cs="Times New Roman" w:eastAsiaTheme="minorEastAsia"/>
                <w:color w:val="000000"/>
                <w:kern w:val="0"/>
                <w:sz w:val="21"/>
                <w:szCs w:val="21"/>
                <w:lang w:bidi="ar"/>
              </w:rPr>
              <w:t>SH/T 0604</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注：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z w:val="21"/>
          <w:szCs w:val="21"/>
        </w:rPr>
      </w:pPr>
      <w:r>
        <w:rPr>
          <w:rFonts w:hint="eastAsia" w:ascii="Times New Roman" w:hAnsi="Times New Roman" w:eastAsia="黑体" w:cs="Times New Roman"/>
          <w:b w:val="0"/>
          <w:bCs w:val="0"/>
          <w:sz w:val="21"/>
          <w:szCs w:val="21"/>
          <w:lang w:val="en-US" w:eastAsia="zh-CN"/>
        </w:rPr>
        <w:t>4.</w:t>
      </w:r>
      <w:r>
        <w:rPr>
          <w:rFonts w:hint="default" w:ascii="Times New Roman" w:hAnsi="Times New Roman" w:eastAsia="黑体" w:cs="Times New Roman"/>
          <w:b w:val="0"/>
          <w:bCs w:val="0"/>
          <w:sz w:val="21"/>
          <w:szCs w:val="21"/>
          <w:lang w:eastAsia="zh-CN"/>
        </w:rPr>
        <w:t>判定规则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4.1</w:t>
      </w:r>
      <w:r>
        <w:rPr>
          <w:rFonts w:hint="default" w:ascii="Times New Roman" w:hAnsi="Times New Roman" w:cs="Times New Roman" w:eastAsiaTheme="minorEastAsia"/>
          <w:sz w:val="21"/>
          <w:szCs w:val="21"/>
          <w:lang w:eastAsia="zh-CN"/>
        </w:rPr>
        <w:t>依据标准</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color w:val="auto"/>
          <w:sz w:val="21"/>
          <w:szCs w:val="21"/>
          <w:highlight w:val="none"/>
        </w:rPr>
      </w:pPr>
      <w:r>
        <w:rPr>
          <w:rFonts w:hint="default" w:ascii="Times New Roman" w:hAnsi="Times New Roman" w:cs="Times New Roman" w:eastAsiaTheme="minorEastAsia"/>
          <w:color w:val="auto"/>
          <w:sz w:val="21"/>
          <w:szCs w:val="21"/>
          <w:highlight w:val="none"/>
        </w:rPr>
        <w:t>GB 29518-2013《柴油发动机氮氧化物还原剂 尿素水溶液》</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ind w:firstLine="420" w:firstLineChars="200"/>
        <w:textAlignment w:val="auto"/>
        <w:rPr>
          <w:rFonts w:hint="default" w:ascii="Times New Roman" w:hAnsi="Times New Roman" w:cs="Times New Roman" w:eastAsiaTheme="minorEastAsia"/>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现行有效的企业标准、团体标准、地方标准及产品明示质量要求</w:t>
      </w:r>
      <w:r>
        <w:rPr>
          <w:rFonts w:hint="eastAsia" w:ascii="Times New Roman" w:hAnsi="Times New Roman" w:cs="Times New Roman"/>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4.2</w:t>
      </w:r>
      <w:r>
        <w:rPr>
          <w:rFonts w:hint="default" w:ascii="Times New Roman" w:hAnsi="Times New Roman" w:cs="Times New Roman" w:eastAsiaTheme="minorEastAsia"/>
          <w:color w:val="000000"/>
          <w:sz w:val="21"/>
          <w:szCs w:val="21"/>
        </w:rPr>
        <w:t>判定</w:t>
      </w:r>
      <w:r>
        <w:rPr>
          <w:rFonts w:hint="default" w:ascii="Times New Roman" w:hAnsi="Times New Roman" w:cs="Times New Roman" w:eastAsiaTheme="minorEastAsia"/>
          <w:color w:val="000000"/>
          <w:sz w:val="21"/>
          <w:szCs w:val="21"/>
          <w:lang w:eastAsia="zh-CN"/>
        </w:rPr>
        <w:t>原则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若被检产品明示的质量要求缺少本细则中检验项目依据的推荐性标准要求时，该项目不参与判定。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eastAsia="黑体" w:cs="Times New Roman"/>
          <w:b w:val="0"/>
          <w:bCs w:val="0"/>
          <w:sz w:val="21"/>
          <w:szCs w:val="21"/>
          <w:lang w:val="en-US" w:eastAsia="zh-CN"/>
        </w:rPr>
        <w:t>5.异议处理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5.1对监督抽查程序有异议的，由市局核查相关证据后维持或者撤销原检验结果。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5.2对检验结果有异议的，市局核查相关证据，能够证明原检验结果准确的，维持原检验结果；不能证明原检验结果准确，需要进行复检的，由市局指定复检机构进行复检，复检结果为本次监督抽查最终结论。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5.3对样品信息有异议的，市局核查样品确认情况和被抽样单位提交证明材料后，维持或者撤销原检验结果。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p>
    <w:sectPr>
      <w:footerReference r:id="rId5" w:type="first"/>
      <w:headerReference r:id="rId3" w:type="default"/>
      <w:footerReference r:id="rId4" w:type="default"/>
      <w:pgSz w:w="11906" w:h="16838"/>
      <w:pgMar w:top="1247" w:right="1361" w:bottom="1304" w:left="1474" w:header="851" w:footer="794" w:gutter="0"/>
      <w:pgNumType w:start="1"/>
      <w:cols w:space="720" w:num="1"/>
      <w:docGrid w:type="lines" w:linePitch="4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 w:val="clear" w:pos="8306"/>
      </w:tabs>
      <w:ind w:right="360"/>
      <w:jc w:val="center"/>
      <w:rPr>
        <w:rFonts w:hint="eastAsia" w:ascii="宋体" w:hAnsi="宋体"/>
        <w:sz w:val="21"/>
        <w:szCs w:val="21"/>
      </w:rPr>
    </w:pPr>
    <w:r>
      <w:rPr>
        <w:rFonts w:hint="eastAsia" w:ascii="宋体" w:hAnsi="宋体"/>
        <w:sz w:val="21"/>
        <w:szCs w:val="21"/>
      </w:rPr>
      <w:fldChar w:fldCharType="begin"/>
    </w:r>
    <w:r>
      <w:rPr>
        <w:rFonts w:hint="eastAsia" w:ascii="宋体" w:hAnsi="宋体"/>
        <w:sz w:val="21"/>
        <w:szCs w:val="21"/>
      </w:rPr>
      <w:instrText xml:space="preserve"> PAGE  \* MERGEFORMAT </w:instrText>
    </w:r>
    <w:r>
      <w:rPr>
        <w:rFonts w:hint="eastAsia" w:ascii="宋体" w:hAnsi="宋体"/>
        <w:sz w:val="21"/>
        <w:szCs w:val="21"/>
      </w:rPr>
      <w:fldChar w:fldCharType="separate"/>
    </w:r>
    <w:r>
      <w:rPr>
        <w:rFonts w:ascii="宋体" w:hAnsi="宋体"/>
        <w:sz w:val="21"/>
        <w:szCs w:val="21"/>
      </w:rPr>
      <w:t>4</w:t>
    </w:r>
    <w:r>
      <w:rPr>
        <w:rFonts w:hint="eastAsia" w:ascii="宋体" w:hAnsi="宋体"/>
        <w:sz w:val="21"/>
        <w:szCs w:val="21"/>
      </w:rPr>
      <w:fldChar w:fldCharType="end"/>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307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1"/>
                            <w:tabs>
                              <w:tab w:val="clear" w:pos="4153"/>
                              <w:tab w:val="clear" w:pos="8306"/>
                            </w:tabs>
                            <w:rPr>
                              <w:rFonts w:hint="eastAsia" w:ascii="宋体" w:hAnsi="宋体"/>
                              <w:sz w:val="28"/>
                              <w:szCs w:val="28"/>
                            </w:rPr>
                          </w:pPr>
                        </w:p>
                        <w:p/>
                      </w:txbxContent>
                    </wps:txbx>
                    <wps:bodyPr rot="0" vert="horz" wrap="square" lIns="0" tIns="0" rIns="0" bIns="0" anchor="t" anchorCtr="0"/>
                  </wps:wsp>
                </a:graphicData>
              </a:graphic>
            </wp:anchor>
          </w:drawing>
        </mc:Choice>
        <mc:Fallback>
          <w:pict>
            <v:rect id="_x0000_s3079" o:spid="_x0000_s1026" o:spt="1"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ZrZjy0wAAAAUBAAAPAAAAAAAAAAEAIAAAADgAAABkcnMvZG93bnJldi54&#10;bWxQSwECFAAUAAAACACHTuJA2ndku7ABAAB2AwAADgAAAAAAAAABACAAAAA4AQAAZHJzL2Uyb0Rv&#10;Yy54bWxQSwUGAAAAAAYABgBZAQAAWgUAAAAA&#10;">
              <v:fill on="f" focussize="0,0"/>
              <v:stroke on="f"/>
              <v:imagedata o:title=""/>
              <o:lock v:ext="edit" aspectratio="f"/>
              <v:textbox inset="0mm,0mm,0mm,0mm">
                <w:txbxContent>
                  <w:p>
                    <w:pPr>
                      <w:pStyle w:val="21"/>
                      <w:tabs>
                        <w:tab w:val="clear" w:pos="4153"/>
                        <w:tab w:val="clear" w:pos="8306"/>
                      </w:tabs>
                      <w:rPr>
                        <w:rFonts w:hint="eastAsia" w:ascii="宋体" w:hAnsi="宋体"/>
                        <w:sz w:val="28"/>
                        <w:szCs w:val="28"/>
                      </w:rPr>
                    </w:pP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308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1"/>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p/>
                      </w:txbxContent>
                    </wps:txbx>
                    <wps:bodyPr rot="0" vert="horz" wrap="square" lIns="0" tIns="0" rIns="0" bIns="0" anchor="t" anchorCtr="0"/>
                  </wps:wsp>
                </a:graphicData>
              </a:graphic>
            </wp:anchor>
          </w:drawing>
        </mc:Choice>
        <mc:Fallback>
          <w:pict>
            <v:rect id="_x0000_s3080" o:spid="_x0000_s1026" o:spt="1"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Wa2Y8tMAAAAFAQAADwAAAAAAAAABACAAAAA4AAAAZHJzL2Rvd25yZXYueG1s&#10;UEsBAhQAFAAAAAgAh07iQPeRpWyuAQAAdgMAAA4AAAAAAAAAAQAgAAAAOAEAAGRycy9lMm9Eb2Mu&#10;eG1sUEsFBgAAAAAGAAYAWQEAAFgFAAAAAA==&#10;">
              <v:fill on="f" focussize="0,0"/>
              <v:stroke on="f"/>
              <v:imagedata o:title=""/>
              <o:lock v:ext="edit" aspectratio="f"/>
              <v:textbox inset="0mm,0mm,0mm,0mm">
                <w:txbxContent>
                  <w:p>
                    <w:pPr>
                      <w:pStyle w:val="21"/>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1680" w:right="168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isplayHorizontalDrawingGridEvery w:val="1"/>
  <w:displayVerticalDrawingGridEvery w:val="1"/>
  <w:noPunctuationKerning w:val="1"/>
  <w:compat>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YTQ0NWFlMTI1YTEzMjc0ZmY3ODgyNWIzODM1YWYifQ=="/>
  </w:docVars>
  <w:rsids>
    <w:rsidRoot w:val="00000000"/>
    <w:rsid w:val="00324240"/>
    <w:rsid w:val="014632E9"/>
    <w:rsid w:val="06606195"/>
    <w:rsid w:val="07BA55A7"/>
    <w:rsid w:val="08403A8C"/>
    <w:rsid w:val="085B3B1D"/>
    <w:rsid w:val="08AE1E9F"/>
    <w:rsid w:val="0B165718"/>
    <w:rsid w:val="0D7F3E0A"/>
    <w:rsid w:val="0E770F85"/>
    <w:rsid w:val="10B01811"/>
    <w:rsid w:val="12704669"/>
    <w:rsid w:val="130E4C12"/>
    <w:rsid w:val="154C316C"/>
    <w:rsid w:val="16C678A1"/>
    <w:rsid w:val="175F1EBE"/>
    <w:rsid w:val="18441ED8"/>
    <w:rsid w:val="1AB33345"/>
    <w:rsid w:val="1CA05B4B"/>
    <w:rsid w:val="1CE27F12"/>
    <w:rsid w:val="1D6D1ED1"/>
    <w:rsid w:val="1F1A3993"/>
    <w:rsid w:val="1F327D4A"/>
    <w:rsid w:val="1FE12702"/>
    <w:rsid w:val="20755AF0"/>
    <w:rsid w:val="24B95082"/>
    <w:rsid w:val="266A54DF"/>
    <w:rsid w:val="2890116A"/>
    <w:rsid w:val="28EA0255"/>
    <w:rsid w:val="2A473AAA"/>
    <w:rsid w:val="2BE27075"/>
    <w:rsid w:val="2C3F712F"/>
    <w:rsid w:val="2D3C7483"/>
    <w:rsid w:val="2E542017"/>
    <w:rsid w:val="31B66DE5"/>
    <w:rsid w:val="3253123E"/>
    <w:rsid w:val="32562ADC"/>
    <w:rsid w:val="32933D30"/>
    <w:rsid w:val="32BB6DE3"/>
    <w:rsid w:val="33264BA4"/>
    <w:rsid w:val="346824C6"/>
    <w:rsid w:val="34B63D06"/>
    <w:rsid w:val="35CB558F"/>
    <w:rsid w:val="361B2A2D"/>
    <w:rsid w:val="389425B0"/>
    <w:rsid w:val="3A725701"/>
    <w:rsid w:val="3B8E1539"/>
    <w:rsid w:val="3D0F2205"/>
    <w:rsid w:val="3DC44308"/>
    <w:rsid w:val="3ED86BB8"/>
    <w:rsid w:val="42B5384F"/>
    <w:rsid w:val="42C43A92"/>
    <w:rsid w:val="43ED0DC6"/>
    <w:rsid w:val="446303E5"/>
    <w:rsid w:val="449751F4"/>
    <w:rsid w:val="4A2A2D74"/>
    <w:rsid w:val="4B5147E2"/>
    <w:rsid w:val="4B7D6ED4"/>
    <w:rsid w:val="4BF929FE"/>
    <w:rsid w:val="4C624CD5"/>
    <w:rsid w:val="4CE90CC5"/>
    <w:rsid w:val="4E0E0BF5"/>
    <w:rsid w:val="513B13C3"/>
    <w:rsid w:val="534A0A28"/>
    <w:rsid w:val="559E55FC"/>
    <w:rsid w:val="56A417B8"/>
    <w:rsid w:val="5805272B"/>
    <w:rsid w:val="581035A9"/>
    <w:rsid w:val="5A89319F"/>
    <w:rsid w:val="5B834092"/>
    <w:rsid w:val="5EAF519E"/>
    <w:rsid w:val="5F33157D"/>
    <w:rsid w:val="648037CE"/>
    <w:rsid w:val="68D128E1"/>
    <w:rsid w:val="69EA2BD4"/>
    <w:rsid w:val="6A667059"/>
    <w:rsid w:val="6ABE180C"/>
    <w:rsid w:val="6CA3464B"/>
    <w:rsid w:val="71F238C8"/>
    <w:rsid w:val="74075C3F"/>
    <w:rsid w:val="755A1EB0"/>
    <w:rsid w:val="75D92DD5"/>
    <w:rsid w:val="7A7C2F25"/>
    <w:rsid w:val="7D7F07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4"/>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标题 11"/>
    <w:basedOn w:val="1"/>
    <w:qFormat/>
    <w:uiPriority w:val="0"/>
    <w:pPr>
      <w:spacing w:before="100" w:beforeAutospacing="1" w:after="100" w:afterAutospacing="1"/>
      <w:jc w:val="left"/>
      <w:outlineLvl w:val="0"/>
    </w:pPr>
    <w:rPr>
      <w:rFonts w:hint="eastAsia" w:ascii="宋体" w:hAnsi="宋体" w:eastAsia="宋体"/>
      <w:b/>
      <w:kern w:val="44"/>
      <w:sz w:val="48"/>
      <w:szCs w:val="48"/>
      <w:lang w:val="en-US" w:eastAsia="zh-CN" w:bidi="ar"/>
    </w:rPr>
  </w:style>
  <w:style w:type="paragraph" w:customStyle="1" w:styleId="6">
    <w:name w:val="标题 21"/>
    <w:basedOn w:val="1"/>
    <w:link w:val="10"/>
    <w:qFormat/>
    <w:uiPriority w:val="0"/>
    <w:pPr>
      <w:autoSpaceDE w:val="0"/>
      <w:autoSpaceDN w:val="0"/>
      <w:spacing w:before="260" w:beforeAutospacing="0" w:after="260" w:afterAutospacing="0" w:line="416" w:lineRule="auto"/>
      <w:jc w:val="left"/>
      <w:outlineLvl w:val="1"/>
    </w:pPr>
    <w:rPr>
      <w:rFonts w:ascii="Arial" w:hAnsi="Arial" w:eastAsia="黑体"/>
      <w:b/>
      <w:bCs/>
      <w:kern w:val="0"/>
      <w:sz w:val="32"/>
      <w:szCs w:val="32"/>
    </w:rPr>
  </w:style>
  <w:style w:type="character" w:customStyle="1" w:styleId="7">
    <w:name w:val="默认段落字体1"/>
    <w:link w:val="1"/>
    <w:semiHidden/>
    <w:qFormat/>
    <w:uiPriority w:val="0"/>
  </w:style>
  <w:style w:type="table" w:customStyle="1" w:styleId="8">
    <w:name w:val="普通表格1"/>
    <w:semiHidden/>
    <w:qFormat/>
    <w:uiPriority w:val="0"/>
  </w:style>
  <w:style w:type="paragraph" w:customStyle="1" w:styleId="9">
    <w:name w:val="正文文本缩进1"/>
    <w:basedOn w:val="1"/>
    <w:qFormat/>
    <w:uiPriority w:val="0"/>
    <w:pPr>
      <w:spacing w:beforeAutospacing="0" w:afterAutospacing="0" w:line="360" w:lineRule="auto"/>
      <w:ind w:firstLine="420" w:firstLineChars="200"/>
    </w:pPr>
    <w:rPr>
      <w:rFonts w:ascii="宋体" w:hAnsi="宋体"/>
      <w:sz w:val="21"/>
      <w:szCs w:val="21"/>
    </w:rPr>
  </w:style>
  <w:style w:type="character" w:customStyle="1" w:styleId="10">
    <w:name w:val="标题 2 Char"/>
    <w:link w:val="6"/>
    <w:qFormat/>
    <w:uiPriority w:val="0"/>
    <w:rPr>
      <w:rFonts w:ascii="Arial" w:hAnsi="Arial" w:eastAsia="黑体"/>
      <w:b/>
      <w:bCs/>
      <w:sz w:val="32"/>
      <w:szCs w:val="32"/>
      <w:lang w:bidi="ar-SA"/>
    </w:rPr>
  </w:style>
  <w:style w:type="paragraph" w:customStyle="1" w:styleId="11">
    <w:name w:val="注释标题1"/>
    <w:basedOn w:val="1"/>
    <w:link w:val="12"/>
    <w:qFormat/>
    <w:uiPriority w:val="0"/>
    <w:pPr>
      <w:jc w:val="center"/>
    </w:pPr>
    <w:rPr>
      <w:rFonts w:ascii="Calibri" w:hAnsi="Calibri" w:eastAsia="楷体_GB2312"/>
      <w:szCs w:val="22"/>
    </w:rPr>
  </w:style>
  <w:style w:type="character" w:customStyle="1" w:styleId="12">
    <w:name w:val="注释标题 Char"/>
    <w:basedOn w:val="7"/>
    <w:link w:val="11"/>
    <w:qFormat/>
    <w:uiPriority w:val="0"/>
    <w:rPr>
      <w:rFonts w:ascii="Calibri" w:hAnsi="Calibri" w:eastAsia="楷体_GB2312"/>
      <w:kern w:val="2"/>
      <w:sz w:val="24"/>
      <w:szCs w:val="22"/>
      <w:lang w:val="en-US" w:eastAsia="zh-CN" w:bidi="ar-SA"/>
    </w:rPr>
  </w:style>
  <w:style w:type="paragraph" w:customStyle="1" w:styleId="13">
    <w:name w:val="批注文字1"/>
    <w:basedOn w:val="1"/>
    <w:link w:val="14"/>
    <w:semiHidden/>
    <w:qFormat/>
    <w:uiPriority w:val="0"/>
    <w:pPr>
      <w:jc w:val="left"/>
    </w:pPr>
  </w:style>
  <w:style w:type="character" w:customStyle="1" w:styleId="14">
    <w:name w:val="批注文字 Char"/>
    <w:basedOn w:val="7"/>
    <w:link w:val="13"/>
    <w:semiHidden/>
    <w:qFormat/>
    <w:uiPriority w:val="0"/>
    <w:rPr>
      <w:rFonts w:ascii="Times New Roman" w:hAnsi="Times New Roman" w:eastAsia="宋体"/>
      <w:sz w:val="24"/>
      <w:szCs w:val="24"/>
    </w:rPr>
  </w:style>
  <w:style w:type="paragraph" w:customStyle="1" w:styleId="15">
    <w:name w:val="文本块1"/>
    <w:basedOn w:val="1"/>
    <w:qFormat/>
    <w:uiPriority w:val="0"/>
    <w:pPr>
      <w:spacing w:beforeAutospacing="0" w:after="120" w:afterAutospacing="0"/>
      <w:ind w:left="1440" w:leftChars="700" w:right="1440" w:rightChars="700"/>
    </w:pPr>
  </w:style>
  <w:style w:type="paragraph" w:customStyle="1" w:styleId="16">
    <w:name w:val="纯文本1"/>
    <w:basedOn w:val="1"/>
    <w:link w:val="17"/>
    <w:qFormat/>
    <w:uiPriority w:val="0"/>
    <w:rPr>
      <w:rFonts w:ascii="宋体" w:hAnsi="Courier New"/>
      <w:sz w:val="28"/>
      <w:szCs w:val="20"/>
    </w:rPr>
  </w:style>
  <w:style w:type="character" w:customStyle="1" w:styleId="17">
    <w:name w:val="纯文本 Char"/>
    <w:basedOn w:val="7"/>
    <w:link w:val="16"/>
    <w:qFormat/>
    <w:uiPriority w:val="0"/>
    <w:rPr>
      <w:rFonts w:ascii="宋体" w:hAnsi="Courier New" w:eastAsia="宋体"/>
      <w:sz w:val="20"/>
      <w:szCs w:val="20"/>
    </w:rPr>
  </w:style>
  <w:style w:type="paragraph" w:customStyle="1" w:styleId="18">
    <w:name w:val="日期1"/>
    <w:basedOn w:val="1"/>
    <w:qFormat/>
    <w:uiPriority w:val="0"/>
    <w:pPr>
      <w:ind w:left="100" w:leftChars="2500"/>
    </w:pPr>
  </w:style>
  <w:style w:type="paragraph" w:customStyle="1" w:styleId="19">
    <w:name w:val="批注框文本1"/>
    <w:basedOn w:val="1"/>
    <w:link w:val="20"/>
    <w:semiHidden/>
    <w:qFormat/>
    <w:uiPriority w:val="0"/>
    <w:rPr>
      <w:sz w:val="18"/>
      <w:szCs w:val="18"/>
    </w:rPr>
  </w:style>
  <w:style w:type="character" w:customStyle="1" w:styleId="20">
    <w:name w:val="批注框文本 Char"/>
    <w:basedOn w:val="7"/>
    <w:link w:val="19"/>
    <w:semiHidden/>
    <w:qFormat/>
    <w:uiPriority w:val="0"/>
    <w:rPr>
      <w:rFonts w:ascii="Times New Roman" w:hAnsi="Times New Roman" w:eastAsia="宋体"/>
      <w:sz w:val="18"/>
      <w:szCs w:val="18"/>
    </w:rPr>
  </w:style>
  <w:style w:type="paragraph" w:customStyle="1" w:styleId="21">
    <w:name w:val="页脚1"/>
    <w:basedOn w:val="1"/>
    <w:link w:val="22"/>
    <w:qFormat/>
    <w:uiPriority w:val="0"/>
    <w:pPr>
      <w:tabs>
        <w:tab w:val="center" w:pos="4153"/>
        <w:tab w:val="right" w:pos="8306"/>
      </w:tabs>
      <w:snapToGrid w:val="0"/>
      <w:jc w:val="left"/>
    </w:pPr>
    <w:rPr>
      <w:sz w:val="18"/>
      <w:szCs w:val="18"/>
    </w:rPr>
  </w:style>
  <w:style w:type="character" w:customStyle="1" w:styleId="22">
    <w:name w:val="页脚 Char"/>
    <w:basedOn w:val="7"/>
    <w:link w:val="21"/>
    <w:qFormat/>
    <w:uiPriority w:val="0"/>
    <w:rPr>
      <w:rFonts w:ascii="Times New Roman" w:hAnsi="Times New Roman" w:eastAsia="宋体"/>
      <w:sz w:val="18"/>
      <w:szCs w:val="18"/>
    </w:rPr>
  </w:style>
  <w:style w:type="paragraph" w:customStyle="1" w:styleId="23">
    <w:name w:val="页眉1"/>
    <w:basedOn w:val="1"/>
    <w:link w:val="24"/>
    <w:qFormat/>
    <w:uiPriority w:val="0"/>
    <w:pPr>
      <w:pBdr>
        <w:bottom w:val="single" w:color="000000" w:sz="6" w:space="1"/>
      </w:pBdr>
      <w:tabs>
        <w:tab w:val="center" w:pos="4153"/>
        <w:tab w:val="right" w:pos="8306"/>
      </w:tabs>
      <w:snapToGrid w:val="0"/>
      <w:jc w:val="center"/>
    </w:pPr>
    <w:rPr>
      <w:sz w:val="18"/>
      <w:szCs w:val="18"/>
    </w:rPr>
  </w:style>
  <w:style w:type="character" w:customStyle="1" w:styleId="24">
    <w:name w:val="页眉 Char"/>
    <w:basedOn w:val="7"/>
    <w:link w:val="23"/>
    <w:qFormat/>
    <w:uiPriority w:val="0"/>
    <w:rPr>
      <w:rFonts w:ascii="Times New Roman" w:hAnsi="Times New Roman" w:eastAsia="宋体"/>
      <w:sz w:val="18"/>
      <w:szCs w:val="18"/>
    </w:rPr>
  </w:style>
  <w:style w:type="paragraph" w:customStyle="1" w:styleId="25">
    <w:name w:val="HTML 预设格式1"/>
    <w:basedOn w:val="1"/>
    <w:link w:val="2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character" w:customStyle="1" w:styleId="26">
    <w:name w:val="HTML 预设格式 Char"/>
    <w:link w:val="25"/>
    <w:qFormat/>
    <w:uiPriority w:val="0"/>
    <w:rPr>
      <w:rFonts w:ascii="宋体" w:hAnsi="宋体" w:eastAsia="宋体"/>
      <w:sz w:val="24"/>
      <w:szCs w:val="24"/>
      <w:lang w:bidi="ar-SA"/>
    </w:rPr>
  </w:style>
  <w:style w:type="paragraph" w:customStyle="1" w:styleId="27">
    <w:name w:val="普通(网站)1"/>
    <w:basedOn w:val="1"/>
    <w:qFormat/>
    <w:uiPriority w:val="0"/>
    <w:rPr>
      <w:sz w:val="24"/>
    </w:rPr>
  </w:style>
  <w:style w:type="paragraph" w:customStyle="1" w:styleId="28">
    <w:name w:val="批注主题1"/>
    <w:basedOn w:val="13"/>
    <w:link w:val="29"/>
    <w:semiHidden/>
    <w:qFormat/>
    <w:uiPriority w:val="0"/>
    <w:rPr>
      <w:b/>
      <w:bCs/>
    </w:rPr>
  </w:style>
  <w:style w:type="character" w:customStyle="1" w:styleId="29">
    <w:name w:val="批注主题 Char"/>
    <w:basedOn w:val="14"/>
    <w:link w:val="28"/>
    <w:semiHidden/>
    <w:qFormat/>
    <w:uiPriority w:val="0"/>
    <w:rPr>
      <w:b/>
      <w:bCs/>
    </w:rPr>
  </w:style>
  <w:style w:type="table" w:customStyle="1" w:styleId="30">
    <w:name w:val="网格型1"/>
    <w:basedOn w:val="8"/>
    <w:qFormat/>
    <w:uiPriority w:val="0"/>
    <w:pPr>
      <w:widowControl w:val="0"/>
      <w:jc w:val="both"/>
    </w:pPr>
    <w:rPr>
      <w:rFonts w:ascii="Times New Roman" w:hAnsi="Times New Roman"/>
      <w:lang w:val="en-US" w:eastAsia="zh-CN" w:bidi="ar-SA"/>
    </w:rPr>
  </w:style>
  <w:style w:type="character" w:customStyle="1" w:styleId="31">
    <w:name w:val="页码1"/>
    <w:basedOn w:val="7"/>
    <w:link w:val="1"/>
    <w:qFormat/>
    <w:uiPriority w:val="0"/>
  </w:style>
  <w:style w:type="character" w:customStyle="1" w:styleId="32">
    <w:name w:val="超链接1"/>
    <w:basedOn w:val="7"/>
    <w:link w:val="1"/>
    <w:qFormat/>
    <w:uiPriority w:val="0"/>
    <w:rPr>
      <w:color w:val="0000FF"/>
      <w:u w:val="single"/>
    </w:rPr>
  </w:style>
  <w:style w:type="character" w:customStyle="1" w:styleId="33">
    <w:name w:val="批注引用1"/>
    <w:basedOn w:val="7"/>
    <w:link w:val="1"/>
    <w:semiHidden/>
    <w:qFormat/>
    <w:uiPriority w:val="0"/>
    <w:rPr>
      <w:sz w:val="21"/>
    </w:rPr>
  </w:style>
  <w:style w:type="character" w:customStyle="1" w:styleId="34">
    <w:name w:val="headline-content2"/>
    <w:basedOn w:val="7"/>
    <w:link w:val="1"/>
    <w:qFormat/>
    <w:uiPriority w:val="0"/>
  </w:style>
  <w:style w:type="paragraph" w:customStyle="1" w:styleId="35">
    <w:name w:val="Char"/>
    <w:basedOn w:val="1"/>
    <w:qFormat/>
    <w:uiPriority w:val="0"/>
    <w:pPr>
      <w:spacing w:beforeAutospacing="0" w:after="160" w:afterAutospacing="0" w:line="240" w:lineRule="exact"/>
      <w:jc w:val="left"/>
    </w:pPr>
    <w:rPr>
      <w:rFonts w:ascii="Verdana" w:hAnsi="Verdana" w:eastAsia="楷体_GB2312"/>
      <w:kern w:val="0"/>
      <w:sz w:val="18"/>
      <w:szCs w:val="20"/>
      <w:lang w:eastAsia="en-US"/>
    </w:rPr>
  </w:style>
  <w:style w:type="paragraph" w:customStyle="1" w:styleId="36">
    <w:name w:val=" Char"/>
    <w:basedOn w:val="1"/>
    <w:qFormat/>
    <w:uiPriority w:val="0"/>
    <w:pPr>
      <w:spacing w:beforeAutospacing="0" w:after="160" w:afterAutospacing="0" w:line="320" w:lineRule="exact"/>
      <w:jc w:val="center"/>
    </w:pPr>
    <w:rPr>
      <w:rFonts w:ascii="Verdana" w:hAnsi="Verdana"/>
      <w:kern w:val="0"/>
      <w:sz w:val="18"/>
      <w:szCs w:val="20"/>
      <w:lang w:eastAsia="en-US"/>
    </w:rPr>
  </w:style>
  <w:style w:type="paragraph" w:customStyle="1" w:styleId="37">
    <w:name w:val="z-窗体底端"/>
    <w:basedOn w:val="1"/>
    <w:qFormat/>
    <w:uiPriority w:val="0"/>
    <w:pPr>
      <w:pBdr>
        <w:top w:val="single" w:color="000000" w:sz="6" w:space="1"/>
      </w:pBdr>
      <w:jc w:val="center"/>
    </w:pPr>
    <w:rPr>
      <w:rFonts w:ascii="Arial" w:eastAsia="宋体"/>
      <w:vanish/>
      <w:sz w:val="16"/>
    </w:rPr>
  </w:style>
  <w:style w:type="paragraph" w:customStyle="1" w:styleId="38">
    <w:name w:val="段"/>
    <w:qFormat/>
    <w:uiPriority w:val="0"/>
    <w:pPr>
      <w:autoSpaceDE w:val="0"/>
      <w:autoSpaceDN w:val="0"/>
      <w:snapToGrid w:val="0"/>
      <w:spacing w:beforeAutospacing="0" w:afterAutospacing="0" w:line="500" w:lineRule="exact"/>
      <w:ind w:firstLine="560" w:firstLineChars="200"/>
    </w:pPr>
    <w:rPr>
      <w:rFonts w:ascii="仿宋_GB2312" w:hAnsi="宋体" w:eastAsia="仿宋_GB2312" w:cstheme="minorBidi"/>
      <w:sz w:val="28"/>
      <w:szCs w:val="28"/>
      <w:lang w:val="en-US" w:eastAsia="zh-CN" w:bidi="ar-SA"/>
    </w:rPr>
  </w:style>
  <w:style w:type="paragraph" w:customStyle="1" w:styleId="39">
    <w:name w:val="z-窗体顶端"/>
    <w:basedOn w:val="1"/>
    <w:qFormat/>
    <w:uiPriority w:val="0"/>
    <w:pPr>
      <w:pBdr>
        <w:bottom w:val="single" w:color="000000"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626</Words>
  <Characters>690</Characters>
  <Lines>0</Lines>
  <Paragraphs>0</Paragraphs>
  <TotalTime>2</TotalTime>
  <ScaleCrop>false</ScaleCrop>
  <LinksUpToDate>false</LinksUpToDate>
  <CharactersWithSpaces>702</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2023-02-20T22:07:00Z</dcterms:created>
  <dc:creator>Administrator</dc:creator>
  <cp:lastModifiedBy>uos</cp:lastModifiedBy>
  <dcterms:modified xsi:type="dcterms:W3CDTF">2024-04-22T16:55:25Z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777E76B8DE1B4DE88DB8437EAD9281EC_13</vt:lpwstr>
  </property>
</Properties>
</file>