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方正小标宋简体" w:hAnsi="Times New Roman" w:eastAsia="方正小标宋简体" w:cs="Times New Roman"/>
          <w:sz w:val="44"/>
          <w:szCs w:val="44"/>
        </w:rPr>
      </w:pPr>
      <w:r>
        <w:rPr>
          <w:rFonts w:hint="eastAsia" w:ascii="方正小标宋简体" w:hAnsi="Times New Roman" w:eastAsia="方正小标宋简体" w:cs="方正小标宋简体"/>
          <w:sz w:val="44"/>
          <w:szCs w:val="44"/>
        </w:rPr>
        <w:t>廊坊市药品检验所</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方正小标宋简体" w:hAnsi="Times New Roman" w:eastAsia="方正小标宋简体" w:cs="Times New Roman"/>
          <w:sz w:val="44"/>
          <w:szCs w:val="44"/>
        </w:rPr>
      </w:pPr>
      <w:r>
        <w:rPr>
          <w:rFonts w:ascii="方正小标宋简体" w:hAnsi="Times New Roman" w:eastAsia="方正小标宋简体" w:cs="方正小标宋简体"/>
          <w:sz w:val="44"/>
          <w:szCs w:val="44"/>
        </w:rPr>
        <w:t>20</w:t>
      </w:r>
      <w:r>
        <w:rPr>
          <w:rFonts w:hint="eastAsia" w:ascii="方正小标宋简体" w:hAnsi="Times New Roman" w:eastAsia="方正小标宋简体" w:cs="方正小标宋简体"/>
          <w:sz w:val="44"/>
          <w:szCs w:val="44"/>
          <w:lang w:val="en-US" w:eastAsia="zh-CN"/>
        </w:rPr>
        <w:t>20</w:t>
      </w:r>
      <w:r>
        <w:rPr>
          <w:rFonts w:hint="eastAsia" w:ascii="方正小标宋简体" w:hAnsi="Times New Roman" w:eastAsia="方正小标宋简体" w:cs="方正小标宋简体"/>
          <w:sz w:val="44"/>
          <w:szCs w:val="44"/>
        </w:rPr>
        <w:t>年部门预算信息公开情况说明</w:t>
      </w:r>
    </w:p>
    <w:p>
      <w:pPr>
        <w:ind w:firstLine="880" w:firstLineChars="200"/>
        <w:jc w:val="center"/>
        <w:rPr>
          <w:rFonts w:ascii="仿宋_GB2312" w:hAnsi="Times New Roman" w:eastAsia="仿宋_GB2312" w:cs="Times New Roman"/>
          <w:sz w:val="44"/>
          <w:szCs w:val="44"/>
        </w:rPr>
      </w:pP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仿宋_GB2312"/>
          <w:sz w:val="32"/>
          <w:szCs w:val="32"/>
        </w:rPr>
        <w:t>按照《预算法》、《地方预决算公开操作规程》和《河北省省级预算公开办法》规定，现将廊坊市药品检验所</w:t>
      </w:r>
      <w:r>
        <w:rPr>
          <w:rFonts w:ascii="仿宋_GB2312" w:hAnsi="Times New Roman" w:eastAsia="仿宋_GB2312" w:cs="仿宋_GB2312"/>
          <w:sz w:val="32"/>
          <w:szCs w:val="32"/>
        </w:rPr>
        <w:t>20</w:t>
      </w:r>
      <w:r>
        <w:rPr>
          <w:rFonts w:hint="eastAsia" w:ascii="仿宋_GB2312" w:hAnsi="Times New Roman" w:eastAsia="仿宋_GB2312" w:cs="仿宋_GB2312"/>
          <w:sz w:val="32"/>
          <w:szCs w:val="32"/>
          <w:lang w:val="en-US" w:eastAsia="zh-CN"/>
        </w:rPr>
        <w:t>20</w:t>
      </w:r>
      <w:r>
        <w:rPr>
          <w:rFonts w:hint="eastAsia" w:ascii="仿宋_GB2312" w:hAnsi="Times New Roman" w:eastAsia="仿宋_GB2312" w:cs="仿宋_GB2312"/>
          <w:sz w:val="32"/>
          <w:szCs w:val="32"/>
        </w:rPr>
        <w:t>年部门预算公开如下：</w:t>
      </w:r>
    </w:p>
    <w:p>
      <w:pPr>
        <w:ind w:firstLine="640" w:firstLineChars="200"/>
        <w:rPr>
          <w:rFonts w:ascii="黑体" w:hAnsi="黑体" w:eastAsia="黑体" w:cs="Times New Roman"/>
          <w:sz w:val="32"/>
          <w:szCs w:val="32"/>
        </w:rPr>
      </w:pPr>
      <w:r>
        <w:rPr>
          <w:rFonts w:hint="eastAsia" w:ascii="黑体" w:hAnsi="黑体" w:eastAsia="黑体" w:cs="黑体"/>
          <w:sz w:val="32"/>
          <w:szCs w:val="32"/>
        </w:rPr>
        <w:t>一、部门职责及机构设置情况</w:t>
      </w:r>
    </w:p>
    <w:p>
      <w:pPr>
        <w:ind w:firstLine="643" w:firstLineChars="200"/>
        <w:rPr>
          <w:rFonts w:ascii="楷体_GB2312" w:hAnsi="Times New Roman" w:eastAsia="楷体_GB2312" w:cs="Times New Roman"/>
          <w:b/>
          <w:bCs/>
          <w:sz w:val="32"/>
          <w:szCs w:val="32"/>
        </w:rPr>
      </w:pPr>
      <w:r>
        <w:rPr>
          <w:rFonts w:hint="eastAsia" w:ascii="楷体_GB2312" w:hAnsi="Times New Roman" w:eastAsia="楷体_GB2312" w:cs="楷体_GB2312"/>
          <w:b/>
          <w:bCs/>
          <w:sz w:val="32"/>
          <w:szCs w:val="32"/>
        </w:rPr>
        <w:t>部门职责：</w:t>
      </w:r>
    </w:p>
    <w:p>
      <w:pPr>
        <w:widowControl/>
        <w:spacing w:line="570" w:lineRule="atLeast"/>
        <w:ind w:firstLine="640" w:firstLineChars="200"/>
        <w:jc w:val="left"/>
        <w:rPr>
          <w:rFonts w:ascii="仿宋" w:hAnsi="仿宋" w:eastAsia="仿宋" w:cs="Times New Roman"/>
          <w:color w:val="000000"/>
          <w:kern w:val="0"/>
          <w:sz w:val="32"/>
          <w:szCs w:val="32"/>
        </w:rPr>
      </w:pPr>
      <w:r>
        <w:rPr>
          <w:rFonts w:hint="eastAsia" w:ascii="仿宋" w:hAnsi="仿宋" w:eastAsia="仿宋" w:cs="仿宋"/>
          <w:color w:val="000000"/>
          <w:kern w:val="0"/>
          <w:sz w:val="32"/>
          <w:szCs w:val="32"/>
        </w:rPr>
        <w:t>为人民身体健康提供公共卫生监督检验保障</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对药品生产、经营、使用单位的药品质量进行监督检验保障人民用药安全有效</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负责药品、保健食品、化妆品的检验、复验、机构委托检验工作；受上级部门委托，负责药品相关标准的起草修订和技术复核；负责药品、保健食品、化妆品有关的检验方法、质量研究等科研工作；负责药品、保健食品、化妆品生产企业、医院制剂洁净区域洁净等级的监测工作；负责对药品、保健食品、化妆品相关单位的检验机构进行业务指导和人员培训；负责指导培训药品、保健食品、化妆品快检工作</w:t>
      </w:r>
    </w:p>
    <w:p>
      <w:pPr>
        <w:ind w:firstLine="643" w:firstLineChars="200"/>
        <w:rPr>
          <w:rFonts w:ascii="楷体_GB2312" w:hAnsi="Times New Roman" w:eastAsia="楷体_GB2312" w:cs="Times New Roman"/>
          <w:b/>
          <w:bCs/>
          <w:sz w:val="32"/>
          <w:szCs w:val="32"/>
        </w:rPr>
      </w:pPr>
      <w:r>
        <w:rPr>
          <w:rFonts w:hint="eastAsia" w:ascii="楷体_GB2312" w:hAnsi="Times New Roman" w:eastAsia="楷体_GB2312" w:cs="楷体_GB2312"/>
          <w:b/>
          <w:bCs/>
          <w:sz w:val="32"/>
          <w:szCs w:val="32"/>
        </w:rPr>
        <w:t>机构设置：</w:t>
      </w:r>
    </w:p>
    <w:p>
      <w:pPr>
        <w:keepNext w:val="0"/>
        <w:keepLines w:val="0"/>
        <w:pageBreakBefore w:val="0"/>
        <w:widowControl/>
        <w:kinsoku/>
        <w:wordWrap/>
        <w:overflowPunct/>
        <w:topLinePunct w:val="0"/>
        <w:autoSpaceDE/>
        <w:autoSpaceDN/>
        <w:bidi w:val="0"/>
        <w:adjustRightInd/>
        <w:snapToGrid/>
        <w:spacing w:beforeAutospacing="0" w:afterAutospacing="0" w:line="360" w:lineRule="atLeast"/>
        <w:ind w:firstLine="640" w:firstLineChars="200"/>
        <w:jc w:val="left"/>
        <w:textAlignment w:val="auto"/>
        <w:rPr>
          <w:rFonts w:ascii="宋体" w:cs="Times New Roman"/>
          <w:color w:val="000000"/>
          <w:kern w:val="0"/>
          <w:sz w:val="32"/>
          <w:szCs w:val="32"/>
        </w:rPr>
      </w:pPr>
      <w:r>
        <w:rPr>
          <w:rFonts w:hint="eastAsia" w:ascii="仿宋_GB2312" w:hAnsi="Times New Roman" w:eastAsia="仿宋_GB2312" w:cs="仿宋_GB2312"/>
          <w:sz w:val="32"/>
          <w:szCs w:val="32"/>
        </w:rPr>
        <w:t>廊坊市药品检验所为廊坊市药品监督管理局所属正科级事业单位，为全额拨款，位于廊坊市建设路</w:t>
      </w:r>
      <w:r>
        <w:rPr>
          <w:rFonts w:ascii="仿宋_GB2312" w:hAnsi="Times New Roman" w:eastAsia="仿宋_GB2312" w:cs="仿宋_GB2312"/>
          <w:sz w:val="32"/>
          <w:szCs w:val="32"/>
        </w:rPr>
        <w:t>50</w:t>
      </w:r>
      <w:r>
        <w:rPr>
          <w:rFonts w:hint="eastAsia" w:ascii="仿宋_GB2312" w:hAnsi="Times New Roman" w:eastAsia="仿宋_GB2312" w:cs="仿宋_GB2312"/>
          <w:sz w:val="32"/>
          <w:szCs w:val="32"/>
        </w:rPr>
        <w:t>号，邮编</w:t>
      </w:r>
      <w:r>
        <w:rPr>
          <w:rFonts w:ascii="仿宋_GB2312" w:hAnsi="Times New Roman" w:eastAsia="仿宋_GB2312" w:cs="仿宋_GB2312"/>
          <w:sz w:val="32"/>
          <w:szCs w:val="32"/>
        </w:rPr>
        <w:t>065000</w:t>
      </w:r>
      <w:r>
        <w:rPr>
          <w:rFonts w:hint="eastAsia" w:ascii="仿宋_GB2312" w:hAnsi="Times New Roman" w:eastAsia="仿宋_GB2312" w:cs="仿宋_GB2312"/>
          <w:sz w:val="32"/>
          <w:szCs w:val="32"/>
        </w:rPr>
        <w:t>，法人：宋二颖。我所编制人数</w:t>
      </w:r>
      <w:r>
        <w:rPr>
          <w:rFonts w:ascii="仿宋_GB2312" w:hAnsi="Times New Roman" w:eastAsia="仿宋_GB2312" w:cs="仿宋_GB2312"/>
          <w:sz w:val="32"/>
          <w:szCs w:val="32"/>
        </w:rPr>
        <w:t>30</w:t>
      </w:r>
      <w:r>
        <w:rPr>
          <w:rFonts w:hint="eastAsia" w:ascii="仿宋_GB2312" w:hAnsi="Times New Roman" w:eastAsia="仿宋_GB2312" w:cs="仿宋_GB2312"/>
          <w:sz w:val="32"/>
          <w:szCs w:val="32"/>
        </w:rPr>
        <w:t>人，实有在职人员</w:t>
      </w:r>
      <w:r>
        <w:rPr>
          <w:rFonts w:ascii="仿宋_GB2312" w:hAnsi="Times New Roman" w:eastAsia="仿宋_GB2312" w:cs="仿宋_GB2312"/>
          <w:sz w:val="32"/>
          <w:szCs w:val="32"/>
        </w:rPr>
        <w:t>26</w:t>
      </w:r>
      <w:r>
        <w:rPr>
          <w:rFonts w:hint="eastAsia" w:ascii="仿宋_GB2312" w:hAnsi="Times New Roman" w:eastAsia="仿宋_GB2312" w:cs="仿宋_GB2312"/>
          <w:sz w:val="32"/>
          <w:szCs w:val="32"/>
        </w:rPr>
        <w:t>人。</w:t>
      </w:r>
      <w:r>
        <w:rPr>
          <w:rFonts w:ascii="仿宋_GB2312" w:hAnsi="Times New Roman" w:eastAsia="仿宋_GB2312" w:cs="仿宋_GB2312"/>
          <w:sz w:val="32"/>
          <w:szCs w:val="32"/>
        </w:rPr>
        <w:t xml:space="preserve"> </w:t>
      </w:r>
    </w:p>
    <w:p>
      <w:pPr>
        <w:autoSpaceDE w:val="0"/>
        <w:autoSpaceDN w:val="0"/>
        <w:adjustRightInd w:val="0"/>
        <w:ind w:firstLine="630" w:firstLineChars="196"/>
        <w:jc w:val="left"/>
        <w:rPr>
          <w:rFonts w:ascii="楷体_GB2312" w:hAnsi="Times New Roman" w:eastAsia="楷体_GB2312" w:cs="Times New Roman"/>
          <w:b/>
          <w:bCs/>
          <w:sz w:val="32"/>
          <w:szCs w:val="32"/>
        </w:rPr>
      </w:pPr>
    </w:p>
    <w:p>
      <w:pPr>
        <w:jc w:val="center"/>
        <w:outlineLvl w:val="0"/>
        <w:rPr>
          <w:rFonts w:ascii="仿宋_GB2312" w:hAnsi="仿宋" w:eastAsia="仿宋_GB2312" w:cs="Times New Roman"/>
          <w:b/>
          <w:bCs/>
          <w:sz w:val="32"/>
          <w:szCs w:val="32"/>
        </w:rPr>
      </w:pPr>
      <w:r>
        <w:rPr>
          <w:rFonts w:hint="eastAsia" w:ascii="仿宋_GB2312" w:hAnsi="仿宋" w:eastAsia="仿宋_GB2312" w:cs="仿宋_GB2312"/>
          <w:b/>
          <w:bCs/>
          <w:sz w:val="32"/>
          <w:szCs w:val="32"/>
        </w:rPr>
        <w:t>部门机构设置情况</w:t>
      </w:r>
    </w:p>
    <w:tbl>
      <w:tblPr>
        <w:tblStyle w:val="8"/>
        <w:tblW w:w="100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00"/>
        <w:gridCol w:w="1830"/>
        <w:gridCol w:w="1685"/>
        <w:gridCol w:w="32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300"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仿宋" w:eastAsia="仿宋_GB2312" w:cs="仿宋_GB2312"/>
                <w:sz w:val="32"/>
                <w:szCs w:val="32"/>
              </w:rPr>
              <w:t>单位名称</w:t>
            </w:r>
          </w:p>
        </w:tc>
        <w:tc>
          <w:tcPr>
            <w:tcW w:w="1830"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仿宋" w:eastAsia="仿宋_GB2312" w:cs="仿宋_GB2312"/>
                <w:sz w:val="32"/>
                <w:szCs w:val="32"/>
              </w:rPr>
              <w:t>单位性质</w:t>
            </w:r>
          </w:p>
        </w:tc>
        <w:tc>
          <w:tcPr>
            <w:tcW w:w="168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仿宋" w:eastAsia="仿宋_GB2312" w:cs="仿宋_GB2312"/>
                <w:sz w:val="32"/>
                <w:szCs w:val="32"/>
              </w:rPr>
              <w:t>单位规格</w:t>
            </w:r>
          </w:p>
        </w:tc>
        <w:tc>
          <w:tcPr>
            <w:tcW w:w="325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仿宋" w:eastAsia="仿宋_GB2312" w:cs="仿宋_GB2312"/>
                <w:sz w:val="32"/>
                <w:szCs w:val="32"/>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300" w:type="dxa"/>
            <w:vMerge w:val="continue"/>
            <w:vAlign w:val="center"/>
          </w:tcPr>
          <w:p>
            <w:pPr>
              <w:keepNext w:val="0"/>
              <w:keepLines w:val="0"/>
              <w:suppressLineNumbers w:val="0"/>
              <w:spacing w:before="0" w:beforeAutospacing="0" w:after="0" w:afterAutospacing="0" w:line="300" w:lineRule="exact"/>
              <w:ind w:left="0" w:right="0"/>
              <w:jc w:val="left"/>
              <w:outlineLvl w:val="0"/>
              <w:rPr>
                <w:rFonts w:hint="default" w:ascii="仿宋_GB2312" w:hAnsi="仿宋" w:eastAsia="仿宋_GB2312" w:cs="Times New Roman"/>
                <w:sz w:val="32"/>
                <w:szCs w:val="32"/>
              </w:rPr>
            </w:pPr>
          </w:p>
        </w:tc>
        <w:tc>
          <w:tcPr>
            <w:tcW w:w="1830" w:type="dxa"/>
            <w:vMerge w:val="continue"/>
            <w:vAlign w:val="center"/>
          </w:tcPr>
          <w:p>
            <w:pPr>
              <w:keepNext w:val="0"/>
              <w:keepLines w:val="0"/>
              <w:suppressLineNumbers w:val="0"/>
              <w:spacing w:before="0" w:beforeAutospacing="0" w:after="0" w:afterAutospacing="0" w:line="300" w:lineRule="exact"/>
              <w:ind w:left="0" w:right="0"/>
              <w:jc w:val="left"/>
              <w:outlineLvl w:val="0"/>
              <w:rPr>
                <w:rFonts w:hint="default" w:ascii="仿宋_GB2312" w:hAnsi="仿宋" w:eastAsia="仿宋_GB2312" w:cs="Times New Roman"/>
                <w:sz w:val="32"/>
                <w:szCs w:val="32"/>
              </w:rPr>
            </w:pPr>
          </w:p>
        </w:tc>
        <w:tc>
          <w:tcPr>
            <w:tcW w:w="1685" w:type="dxa"/>
            <w:vMerge w:val="continue"/>
            <w:vAlign w:val="center"/>
          </w:tcPr>
          <w:p>
            <w:pPr>
              <w:keepNext w:val="0"/>
              <w:keepLines w:val="0"/>
              <w:suppressLineNumbers w:val="0"/>
              <w:spacing w:before="0" w:beforeAutospacing="0" w:after="0" w:afterAutospacing="0" w:line="300" w:lineRule="exact"/>
              <w:ind w:left="0" w:right="0"/>
              <w:jc w:val="left"/>
              <w:outlineLvl w:val="0"/>
              <w:rPr>
                <w:rFonts w:hint="default" w:ascii="仿宋_GB2312" w:hAnsi="仿宋" w:eastAsia="仿宋_GB2312" w:cs="Times New Roman"/>
                <w:sz w:val="32"/>
                <w:szCs w:val="32"/>
              </w:rPr>
            </w:pPr>
          </w:p>
        </w:tc>
        <w:tc>
          <w:tcPr>
            <w:tcW w:w="3255" w:type="dxa"/>
            <w:vMerge w:val="continue"/>
            <w:vAlign w:val="center"/>
          </w:tcPr>
          <w:p>
            <w:pPr>
              <w:keepNext w:val="0"/>
              <w:keepLines w:val="0"/>
              <w:suppressLineNumbers w:val="0"/>
              <w:spacing w:before="0" w:beforeAutospacing="0" w:after="0" w:afterAutospacing="0" w:line="300" w:lineRule="exact"/>
              <w:ind w:left="0" w:right="0"/>
              <w:jc w:val="left"/>
              <w:outlineLvl w:val="0"/>
              <w:rPr>
                <w:rFonts w:hint="default" w:ascii="仿宋_GB2312" w:hAnsi="仿宋" w:eastAsia="仿宋_GB2312" w:cs="Times New Roman"/>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8" w:hRule="atLeast"/>
          <w:jc w:val="center"/>
        </w:trPr>
        <w:tc>
          <w:tcPr>
            <w:tcW w:w="3300" w:type="dxa"/>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仿宋" w:eastAsia="仿宋_GB2312" w:cs="仿宋_GB2312"/>
                <w:sz w:val="32"/>
                <w:szCs w:val="32"/>
              </w:rPr>
              <w:t>廊坊市药品检验所</w:t>
            </w:r>
          </w:p>
        </w:tc>
        <w:tc>
          <w:tcPr>
            <w:tcW w:w="1830" w:type="dxa"/>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仿宋" w:eastAsia="仿宋_GB2312" w:cs="仿宋_GB2312"/>
                <w:sz w:val="32"/>
                <w:szCs w:val="32"/>
              </w:rPr>
              <w:t>事业单位</w:t>
            </w:r>
          </w:p>
        </w:tc>
        <w:tc>
          <w:tcPr>
            <w:tcW w:w="1685" w:type="dxa"/>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hAnsi="Times New Roman" w:eastAsia="仿宋_GB2312" w:cs="仿宋_GB2312"/>
                <w:sz w:val="32"/>
                <w:szCs w:val="32"/>
              </w:rPr>
              <w:t>正科级</w:t>
            </w:r>
          </w:p>
        </w:tc>
        <w:tc>
          <w:tcPr>
            <w:tcW w:w="3255" w:type="dxa"/>
            <w:vAlign w:val="center"/>
          </w:tcPr>
          <w:p>
            <w:pPr>
              <w:keepNext w:val="0"/>
              <w:keepLines w:val="0"/>
              <w:suppressLineNumbers w:val="0"/>
              <w:spacing w:before="0" w:beforeAutospacing="0" w:after="0" w:afterAutospacing="0" w:line="300" w:lineRule="exact"/>
              <w:ind w:left="0" w:right="0"/>
              <w:jc w:val="center"/>
              <w:rPr>
                <w:rFonts w:hint="default" w:ascii="仿宋_GB2312" w:hAnsi="仿宋" w:eastAsia="仿宋_GB2312" w:cs="Times New Roman"/>
                <w:sz w:val="32"/>
                <w:szCs w:val="32"/>
              </w:rPr>
            </w:pPr>
            <w:r>
              <w:rPr>
                <w:rFonts w:hint="eastAsia" w:ascii="仿宋_GB2312" w:eastAsia="仿宋_GB2312" w:cs="仿宋_GB2312"/>
                <w:sz w:val="32"/>
                <w:szCs w:val="32"/>
              </w:rPr>
              <w:t>财政性资金基本保证</w:t>
            </w:r>
          </w:p>
        </w:tc>
      </w:tr>
    </w:tbl>
    <w:p>
      <w:pPr>
        <w:rPr>
          <w:rFonts w:ascii="仿宋_GB2312" w:eastAsia="仿宋_GB2312" w:cs="Times New Roman"/>
        </w:rPr>
      </w:pP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二、部门预算安排的总体情况</w:t>
      </w:r>
    </w:p>
    <w:p>
      <w:pPr>
        <w:ind w:firstLine="640" w:firstLineChars="200"/>
        <w:rPr>
          <w:rFonts w:ascii="仿宋" w:hAnsi="仿宋" w:eastAsia="仿宋" w:cs="Times New Roman"/>
          <w:sz w:val="32"/>
          <w:szCs w:val="32"/>
        </w:rPr>
      </w:pPr>
      <w:r>
        <w:rPr>
          <w:rFonts w:hint="eastAsia" w:ascii="仿宋" w:hAnsi="仿宋" w:eastAsia="仿宋" w:cs="仿宋"/>
          <w:sz w:val="32"/>
          <w:szCs w:val="32"/>
        </w:rPr>
        <w:t>按照预算管理有关规定，目前我市部门预算的编制实行综合预算制度，即全部收入和支出都反映在预算中。廊坊市药品检验所的收支包含在部门预算中。</w:t>
      </w:r>
    </w:p>
    <w:p>
      <w:pPr>
        <w:ind w:firstLine="640"/>
        <w:rPr>
          <w:rFonts w:ascii="仿宋" w:hAnsi="仿宋" w:eastAsia="仿宋" w:cs="Times New Roman"/>
          <w:b/>
          <w:bCs/>
          <w:sz w:val="32"/>
          <w:szCs w:val="32"/>
        </w:rPr>
      </w:pPr>
      <w:r>
        <w:rPr>
          <w:rFonts w:ascii="仿宋" w:hAnsi="仿宋" w:eastAsia="仿宋" w:cs="仿宋"/>
          <w:b/>
          <w:bCs/>
          <w:sz w:val="32"/>
          <w:szCs w:val="32"/>
        </w:rPr>
        <w:t>1</w:t>
      </w:r>
      <w:r>
        <w:rPr>
          <w:rFonts w:hint="eastAsia" w:ascii="仿宋" w:hAnsi="仿宋" w:eastAsia="仿宋" w:cs="仿宋"/>
          <w:b/>
          <w:bCs/>
          <w:sz w:val="32"/>
          <w:szCs w:val="32"/>
        </w:rPr>
        <w:t>、收入说明</w:t>
      </w:r>
    </w:p>
    <w:p>
      <w:pPr>
        <w:ind w:firstLine="640"/>
        <w:rPr>
          <w:rFonts w:ascii="仿宋" w:hAnsi="仿宋" w:eastAsia="仿宋" w:cs="Times New Roman"/>
          <w:sz w:val="32"/>
          <w:szCs w:val="32"/>
        </w:rPr>
      </w:pPr>
      <w:r>
        <w:rPr>
          <w:rFonts w:hint="eastAsia" w:ascii="仿宋" w:hAnsi="仿宋" w:eastAsia="仿宋" w:cs="仿宋"/>
          <w:sz w:val="32"/>
          <w:szCs w:val="32"/>
        </w:rPr>
        <w:t>反映本部门当年全部收入。</w:t>
      </w: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年预算收入</w:t>
      </w:r>
      <w:r>
        <w:rPr>
          <w:rFonts w:hint="eastAsia" w:ascii="仿宋" w:hAnsi="仿宋" w:eastAsia="仿宋" w:cs="仿宋"/>
          <w:sz w:val="32"/>
          <w:szCs w:val="32"/>
          <w:lang w:val="en-US" w:eastAsia="zh-CN"/>
        </w:rPr>
        <w:t>751.10</w:t>
      </w:r>
      <w:r>
        <w:rPr>
          <w:rFonts w:hint="eastAsia" w:ascii="仿宋" w:hAnsi="仿宋" w:eastAsia="仿宋" w:cs="仿宋"/>
          <w:sz w:val="32"/>
          <w:szCs w:val="32"/>
        </w:rPr>
        <w:t>万元，其中：一般公共预算收入</w:t>
      </w:r>
      <w:r>
        <w:rPr>
          <w:rFonts w:hint="eastAsia" w:ascii="仿宋" w:hAnsi="仿宋" w:eastAsia="仿宋" w:cs="仿宋"/>
          <w:sz w:val="32"/>
          <w:szCs w:val="32"/>
          <w:lang w:val="en-US" w:eastAsia="zh-CN"/>
        </w:rPr>
        <w:t>751.10</w:t>
      </w:r>
      <w:r>
        <w:rPr>
          <w:rFonts w:hint="eastAsia" w:ascii="仿宋" w:hAnsi="仿宋" w:eastAsia="仿宋" w:cs="仿宋"/>
          <w:sz w:val="32"/>
          <w:szCs w:val="32"/>
        </w:rPr>
        <w:t>万元，基金预算收入</w:t>
      </w:r>
      <w:r>
        <w:rPr>
          <w:rFonts w:ascii="仿宋" w:hAnsi="仿宋" w:eastAsia="仿宋" w:cs="仿宋"/>
          <w:sz w:val="32"/>
          <w:szCs w:val="32"/>
        </w:rPr>
        <w:t>0</w:t>
      </w:r>
      <w:r>
        <w:rPr>
          <w:rFonts w:hint="eastAsia" w:ascii="仿宋" w:hAnsi="仿宋" w:eastAsia="仿宋" w:cs="仿宋"/>
          <w:sz w:val="32"/>
          <w:szCs w:val="32"/>
        </w:rPr>
        <w:t>万元，财政专户核拨收入</w:t>
      </w:r>
      <w:r>
        <w:rPr>
          <w:rFonts w:ascii="仿宋" w:hAnsi="仿宋" w:eastAsia="仿宋" w:cs="仿宋"/>
          <w:sz w:val="32"/>
          <w:szCs w:val="32"/>
        </w:rPr>
        <w:t>0</w:t>
      </w:r>
      <w:r>
        <w:rPr>
          <w:rFonts w:hint="eastAsia" w:ascii="仿宋" w:hAnsi="仿宋" w:eastAsia="仿宋" w:cs="仿宋"/>
          <w:sz w:val="32"/>
          <w:szCs w:val="32"/>
        </w:rPr>
        <w:t>万元，其他来源收入</w:t>
      </w:r>
      <w:r>
        <w:rPr>
          <w:rFonts w:ascii="仿宋" w:hAnsi="仿宋" w:eastAsia="仿宋" w:cs="仿宋"/>
          <w:sz w:val="32"/>
          <w:szCs w:val="32"/>
        </w:rPr>
        <w:t>0</w:t>
      </w:r>
      <w:r>
        <w:rPr>
          <w:rFonts w:hint="eastAsia" w:ascii="仿宋" w:hAnsi="仿宋" w:eastAsia="仿宋" w:cs="仿宋"/>
          <w:sz w:val="32"/>
          <w:szCs w:val="32"/>
        </w:rPr>
        <w:t>万元（有则写，无则填</w:t>
      </w:r>
      <w:r>
        <w:rPr>
          <w:rFonts w:ascii="仿宋" w:hAnsi="仿宋" w:eastAsia="仿宋" w:cs="仿宋"/>
          <w:sz w:val="32"/>
          <w:szCs w:val="32"/>
        </w:rPr>
        <w:t>0</w:t>
      </w:r>
      <w:r>
        <w:rPr>
          <w:rFonts w:hint="eastAsia" w:ascii="仿宋" w:hAnsi="仿宋" w:eastAsia="仿宋" w:cs="仿宋"/>
          <w:sz w:val="32"/>
          <w:szCs w:val="32"/>
        </w:rPr>
        <w:t>万元）。</w:t>
      </w:r>
    </w:p>
    <w:p>
      <w:pPr>
        <w:ind w:firstLine="640"/>
        <w:rPr>
          <w:rFonts w:ascii="仿宋" w:hAnsi="仿宋" w:eastAsia="仿宋" w:cs="Times New Roman"/>
          <w:b/>
          <w:bCs/>
          <w:sz w:val="32"/>
          <w:szCs w:val="32"/>
        </w:rPr>
      </w:pPr>
      <w:r>
        <w:rPr>
          <w:rFonts w:ascii="仿宋" w:hAnsi="仿宋" w:eastAsia="仿宋" w:cs="仿宋"/>
          <w:b/>
          <w:bCs/>
          <w:sz w:val="32"/>
          <w:szCs w:val="32"/>
        </w:rPr>
        <w:t>2</w:t>
      </w:r>
      <w:r>
        <w:rPr>
          <w:rFonts w:hint="eastAsia" w:ascii="仿宋" w:hAnsi="仿宋" w:eastAsia="仿宋" w:cs="仿宋"/>
          <w:b/>
          <w:bCs/>
          <w:sz w:val="32"/>
          <w:szCs w:val="32"/>
        </w:rPr>
        <w:t>、支出说明</w:t>
      </w:r>
    </w:p>
    <w:p>
      <w:pPr>
        <w:ind w:firstLine="640"/>
        <w:rPr>
          <w:rFonts w:ascii="仿宋" w:hAnsi="仿宋" w:eastAsia="仿宋" w:cs="Times New Roman"/>
          <w:sz w:val="32"/>
          <w:szCs w:val="32"/>
        </w:rPr>
      </w:pPr>
      <w:r>
        <w:rPr>
          <w:rFonts w:hint="eastAsia" w:ascii="仿宋" w:hAnsi="仿宋" w:eastAsia="仿宋" w:cs="仿宋"/>
          <w:sz w:val="32"/>
          <w:szCs w:val="32"/>
        </w:rPr>
        <w:t>收支预算总表支出栏、基本支出表、项目支出表按经济分类和支出功能分类科目编制，反映廊坊市药品检验所</w:t>
      </w: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年度部门预算中支出预算的总体情况。</w:t>
      </w: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751.10</w:t>
      </w:r>
      <w:r>
        <w:rPr>
          <w:rFonts w:hint="eastAsia" w:ascii="仿宋" w:hAnsi="仿宋" w:eastAsia="仿宋" w:cs="仿宋"/>
          <w:sz w:val="32"/>
          <w:szCs w:val="32"/>
        </w:rPr>
        <w:t>万元，包括人员经费</w:t>
      </w:r>
      <w:r>
        <w:rPr>
          <w:rFonts w:hint="eastAsia" w:ascii="仿宋" w:hAnsi="仿宋" w:eastAsia="仿宋" w:cs="仿宋"/>
          <w:sz w:val="32"/>
          <w:szCs w:val="32"/>
          <w:lang w:val="en-US" w:eastAsia="zh-CN"/>
        </w:rPr>
        <w:t>539.81</w:t>
      </w:r>
      <w:r>
        <w:rPr>
          <w:rFonts w:hint="eastAsia" w:ascii="仿宋" w:hAnsi="仿宋" w:eastAsia="仿宋" w:cs="仿宋"/>
          <w:sz w:val="32"/>
          <w:szCs w:val="32"/>
        </w:rPr>
        <w:t>万元和日常公用经费</w:t>
      </w:r>
      <w:r>
        <w:rPr>
          <w:rFonts w:hint="eastAsia" w:ascii="仿宋" w:hAnsi="仿宋" w:eastAsia="仿宋" w:cs="仿宋"/>
          <w:sz w:val="32"/>
          <w:szCs w:val="32"/>
          <w:lang w:val="en-US" w:eastAsia="zh-CN"/>
        </w:rPr>
        <w:t>40.29</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171.00</w:t>
      </w:r>
      <w:r>
        <w:rPr>
          <w:rFonts w:hint="eastAsia" w:ascii="仿宋" w:hAnsi="仿宋" w:eastAsia="仿宋" w:cs="仿宋"/>
          <w:sz w:val="32"/>
          <w:szCs w:val="32"/>
        </w:rPr>
        <w:t>万元，包括本级支出主要为人员、公用和专项支出。</w:t>
      </w:r>
    </w:p>
    <w:p>
      <w:pPr>
        <w:ind w:firstLine="640"/>
        <w:rPr>
          <w:rFonts w:ascii="仿宋" w:hAnsi="仿宋" w:eastAsia="仿宋" w:cs="Times New Roman"/>
          <w:b/>
          <w:bCs/>
          <w:sz w:val="32"/>
          <w:szCs w:val="32"/>
        </w:rPr>
      </w:pPr>
      <w:r>
        <w:rPr>
          <w:rFonts w:ascii="仿宋" w:hAnsi="仿宋" w:eastAsia="仿宋" w:cs="仿宋"/>
          <w:b/>
          <w:bCs/>
          <w:sz w:val="32"/>
          <w:szCs w:val="32"/>
        </w:rPr>
        <w:t>3</w:t>
      </w:r>
      <w:r>
        <w:rPr>
          <w:rFonts w:hint="eastAsia" w:ascii="仿宋" w:hAnsi="仿宋" w:eastAsia="仿宋" w:cs="仿宋"/>
          <w:b/>
          <w:bCs/>
          <w:sz w:val="32"/>
          <w:szCs w:val="32"/>
        </w:rPr>
        <w:t>、比上年增减情况</w:t>
      </w:r>
    </w:p>
    <w:p>
      <w:pPr>
        <w:ind w:firstLine="640"/>
        <w:rPr>
          <w:rFonts w:ascii="仿宋" w:hAnsi="仿宋" w:eastAsia="仿宋" w:cs="Times New Roman"/>
          <w:sz w:val="32"/>
          <w:szCs w:val="32"/>
        </w:rPr>
      </w:pP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年预算收支安排</w:t>
      </w:r>
      <w:r>
        <w:rPr>
          <w:rFonts w:hint="eastAsia" w:ascii="仿宋" w:hAnsi="仿宋" w:eastAsia="仿宋" w:cs="仿宋"/>
          <w:sz w:val="32"/>
          <w:szCs w:val="32"/>
          <w:lang w:val="en-US" w:eastAsia="zh-CN"/>
        </w:rPr>
        <w:t>751.10</w:t>
      </w:r>
      <w:r>
        <w:rPr>
          <w:rFonts w:hint="eastAsia" w:ascii="仿宋" w:hAnsi="仿宋" w:eastAsia="仿宋" w:cs="仿宋"/>
          <w:sz w:val="32"/>
          <w:szCs w:val="32"/>
        </w:rPr>
        <w:t>万元，较</w:t>
      </w: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年预算增加</w:t>
      </w:r>
      <w:r>
        <w:rPr>
          <w:rFonts w:hint="eastAsia" w:ascii="仿宋" w:hAnsi="仿宋" w:eastAsia="仿宋" w:cs="仿宋"/>
          <w:sz w:val="32"/>
          <w:szCs w:val="32"/>
          <w:lang w:val="en-US" w:eastAsia="zh-CN"/>
        </w:rPr>
        <w:t>2.75</w:t>
      </w:r>
      <w:r>
        <w:rPr>
          <w:rFonts w:hint="eastAsia" w:ascii="仿宋" w:hAnsi="仿宋" w:eastAsia="仿宋" w:cs="仿宋"/>
          <w:sz w:val="32"/>
          <w:szCs w:val="32"/>
        </w:rPr>
        <w:t>万元，其中：基本支出增加</w:t>
      </w:r>
      <w:r>
        <w:rPr>
          <w:rFonts w:hint="eastAsia" w:ascii="仿宋" w:hAnsi="仿宋" w:eastAsia="仿宋" w:cs="仿宋"/>
          <w:sz w:val="32"/>
          <w:szCs w:val="32"/>
          <w:lang w:val="en-US" w:eastAsia="zh-CN"/>
        </w:rPr>
        <w:t>15.05</w:t>
      </w:r>
      <w:r>
        <w:rPr>
          <w:rFonts w:hint="eastAsia" w:ascii="仿宋" w:hAnsi="仿宋" w:eastAsia="仿宋" w:cs="仿宋"/>
          <w:sz w:val="32"/>
          <w:szCs w:val="32"/>
        </w:rPr>
        <w:t>万元，主要为人员工资和公用支出；项目支出减少</w:t>
      </w:r>
      <w:r>
        <w:rPr>
          <w:rFonts w:hint="eastAsia" w:ascii="仿宋" w:hAnsi="仿宋" w:eastAsia="仿宋" w:cs="仿宋"/>
          <w:sz w:val="32"/>
          <w:szCs w:val="32"/>
          <w:lang w:val="en-US" w:eastAsia="zh-CN"/>
        </w:rPr>
        <w:t>12.30</w:t>
      </w:r>
      <w:r>
        <w:rPr>
          <w:rFonts w:hint="eastAsia" w:ascii="仿宋" w:hAnsi="仿宋" w:eastAsia="仿宋" w:cs="仿宋"/>
          <w:sz w:val="32"/>
          <w:szCs w:val="32"/>
        </w:rPr>
        <w:t>万元。</w:t>
      </w: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三、机关运行经费安排情况</w:t>
      </w:r>
    </w:p>
    <w:p>
      <w:pPr>
        <w:autoSpaceDE w:val="0"/>
        <w:autoSpaceDN w:val="0"/>
        <w:adjustRightInd w:val="0"/>
        <w:ind w:left="198" w:firstLine="640" w:firstLineChars="200"/>
        <w:jc w:val="left"/>
        <w:rPr>
          <w:rFonts w:ascii="仿宋" w:hAnsi="仿宋" w:eastAsia="仿宋" w:cs="Times New Roman"/>
          <w:sz w:val="32"/>
          <w:szCs w:val="32"/>
        </w:rPr>
      </w:pP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年，我所事业运行经费共计安排</w:t>
      </w:r>
      <w:r>
        <w:rPr>
          <w:rFonts w:hint="eastAsia" w:ascii="仿宋" w:hAnsi="仿宋" w:eastAsia="仿宋" w:cs="仿宋"/>
          <w:sz w:val="32"/>
          <w:szCs w:val="32"/>
          <w:lang w:val="en-US" w:eastAsia="zh-CN"/>
        </w:rPr>
        <w:t>40.29</w:t>
      </w:r>
      <w:r>
        <w:rPr>
          <w:rFonts w:hint="eastAsia" w:ascii="仿宋" w:hAnsi="仿宋" w:eastAsia="仿宋" w:cs="仿宋"/>
          <w:sz w:val="32"/>
          <w:szCs w:val="32"/>
        </w:rPr>
        <w:t>万元，主要用于单位</w:t>
      </w:r>
      <w:r>
        <w:rPr>
          <w:rFonts w:ascii="仿宋" w:hAnsi="仿宋" w:eastAsia="仿宋" w:cs="仿宋"/>
          <w:sz w:val="32"/>
          <w:szCs w:val="32"/>
        </w:rPr>
        <w:t xml:space="preserve"> </w:t>
      </w:r>
      <w:r>
        <w:rPr>
          <w:rFonts w:hint="eastAsia" w:ascii="仿宋" w:hAnsi="仿宋" w:eastAsia="仿宋" w:cs="仿宋"/>
          <w:sz w:val="32"/>
          <w:szCs w:val="32"/>
        </w:rPr>
        <w:t>办公区的日常维修、办公用房水电费、办公用房取暖费、办公用房物业管理费等日常运行支出。</w:t>
      </w: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四、财政拨款“三公”经费预算情况及增减变化原因</w:t>
      </w:r>
    </w:p>
    <w:p>
      <w:pPr>
        <w:autoSpaceDE w:val="0"/>
        <w:autoSpaceDN w:val="0"/>
        <w:adjustRightInd w:val="0"/>
        <w:ind w:left="197" w:leftChars="94" w:firstLine="640" w:firstLineChars="200"/>
        <w:jc w:val="left"/>
        <w:rPr>
          <w:rFonts w:ascii="仿宋" w:hAnsi="仿宋" w:eastAsia="仿宋" w:cs="Times New Roman"/>
          <w:sz w:val="32"/>
          <w:szCs w:val="32"/>
        </w:rPr>
      </w:pP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年，我所财政拨款“三公”经费预算安排</w:t>
      </w:r>
      <w:r>
        <w:rPr>
          <w:rFonts w:ascii="仿宋" w:hAnsi="仿宋" w:eastAsia="仿宋" w:cs="仿宋"/>
          <w:sz w:val="32"/>
          <w:szCs w:val="32"/>
        </w:rPr>
        <w:t>6.</w:t>
      </w:r>
      <w:r>
        <w:rPr>
          <w:rFonts w:hint="eastAsia" w:ascii="仿宋" w:hAnsi="仿宋" w:eastAsia="仿宋" w:cs="仿宋"/>
          <w:sz w:val="32"/>
          <w:szCs w:val="32"/>
          <w:lang w:val="en-US" w:eastAsia="zh-CN"/>
        </w:rPr>
        <w:t>2</w:t>
      </w:r>
      <w:r>
        <w:rPr>
          <w:rFonts w:hint="eastAsia" w:ascii="仿宋" w:hAnsi="仿宋" w:eastAsia="仿宋" w:cs="仿宋"/>
          <w:sz w:val="32"/>
          <w:szCs w:val="32"/>
        </w:rPr>
        <w:t>万元，其中因公出国（境）费</w:t>
      </w:r>
      <w:r>
        <w:rPr>
          <w:rFonts w:ascii="仿宋" w:hAnsi="仿宋" w:eastAsia="仿宋" w:cs="仿宋"/>
          <w:sz w:val="32"/>
          <w:szCs w:val="32"/>
        </w:rPr>
        <w:t>0</w:t>
      </w:r>
      <w:r>
        <w:rPr>
          <w:rFonts w:hint="eastAsia" w:ascii="仿宋" w:hAnsi="仿宋" w:eastAsia="仿宋" w:cs="仿宋"/>
          <w:sz w:val="32"/>
          <w:szCs w:val="32"/>
        </w:rPr>
        <w:t>万元；公务用车购置及运维费</w:t>
      </w:r>
      <w:r>
        <w:rPr>
          <w:rFonts w:ascii="仿宋" w:hAnsi="仿宋" w:eastAsia="仿宋" w:cs="仿宋"/>
          <w:sz w:val="32"/>
          <w:szCs w:val="32"/>
        </w:rPr>
        <w:t>4.37</w:t>
      </w:r>
      <w:r>
        <w:rPr>
          <w:rFonts w:hint="eastAsia" w:ascii="仿宋" w:hAnsi="仿宋" w:eastAsia="仿宋" w:cs="仿宋"/>
          <w:sz w:val="32"/>
          <w:szCs w:val="32"/>
        </w:rPr>
        <w:t>万元（其中：公务用车购置费为</w:t>
      </w:r>
      <w:r>
        <w:rPr>
          <w:rFonts w:ascii="仿宋" w:hAnsi="仿宋" w:eastAsia="仿宋" w:cs="仿宋"/>
          <w:sz w:val="32"/>
          <w:szCs w:val="32"/>
        </w:rPr>
        <w:t>0</w:t>
      </w:r>
      <w:r>
        <w:rPr>
          <w:rFonts w:hint="eastAsia" w:ascii="仿宋" w:hAnsi="仿宋" w:eastAsia="仿宋" w:cs="仿宋"/>
          <w:sz w:val="32"/>
          <w:szCs w:val="32"/>
        </w:rPr>
        <w:t>万元，公务用车运维费</w:t>
      </w:r>
      <w:r>
        <w:rPr>
          <w:rFonts w:ascii="仿宋" w:hAnsi="仿宋" w:eastAsia="仿宋" w:cs="仿宋"/>
          <w:sz w:val="32"/>
          <w:szCs w:val="32"/>
        </w:rPr>
        <w:t>4.37</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sz w:val="32"/>
          <w:szCs w:val="32"/>
        </w:rPr>
        <w:t>；公务接待费</w:t>
      </w:r>
      <w:r>
        <w:rPr>
          <w:rFonts w:ascii="仿宋" w:hAnsi="仿宋" w:eastAsia="仿宋" w:cs="仿宋"/>
          <w:sz w:val="32"/>
          <w:szCs w:val="32"/>
        </w:rPr>
        <w:t>0.40</w:t>
      </w:r>
      <w:r>
        <w:rPr>
          <w:rFonts w:hint="eastAsia" w:ascii="仿宋" w:hAnsi="仿宋" w:eastAsia="仿宋" w:cs="仿宋"/>
          <w:sz w:val="32"/>
          <w:szCs w:val="32"/>
        </w:rPr>
        <w:t>万元。</w:t>
      </w:r>
      <w:r>
        <w:rPr>
          <w:rFonts w:hint="eastAsia" w:ascii="仿宋" w:hAnsi="仿宋" w:eastAsia="仿宋" w:cs="仿宋"/>
          <w:color w:val="000000"/>
          <w:sz w:val="32"/>
          <w:szCs w:val="32"/>
        </w:rPr>
        <w:t>与</w:t>
      </w:r>
      <w:r>
        <w:rPr>
          <w:rFonts w:ascii="仿宋" w:hAnsi="仿宋" w:eastAsia="仿宋" w:cs="仿宋"/>
          <w:color w:val="000000"/>
          <w:sz w:val="32"/>
          <w:szCs w:val="32"/>
        </w:rPr>
        <w:t>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年相比持平，无增减变化。</w:t>
      </w:r>
    </w:p>
    <w:p>
      <w:pPr>
        <w:spacing w:line="600" w:lineRule="exact"/>
        <w:ind w:firstLine="640" w:firstLineChars="200"/>
        <w:rPr>
          <w:rFonts w:ascii="黑体" w:hAnsi="黑体" w:eastAsia="黑体" w:cs="Times New Roman"/>
          <w:sz w:val="32"/>
          <w:szCs w:val="32"/>
        </w:rPr>
      </w:pPr>
      <w:bookmarkStart w:id="0" w:name="_Toc471398463"/>
      <w:r>
        <w:rPr>
          <w:rFonts w:hint="eastAsia" w:ascii="黑体" w:hAnsi="黑体" w:eastAsia="黑体" w:cs="黑体"/>
          <w:sz w:val="32"/>
          <w:szCs w:val="32"/>
        </w:rPr>
        <w:t>五、绩效预算信息</w:t>
      </w:r>
    </w:p>
    <w:p>
      <w:pPr>
        <w:keepNext w:val="0"/>
        <w:keepLines w:val="0"/>
        <w:widowControl w:val="0"/>
        <w:suppressLineNumbers w:val="0"/>
        <w:spacing w:before="0" w:beforeAutospacing="0" w:after="0" w:afterAutospacing="0" w:line="570" w:lineRule="exact"/>
        <w:ind w:left="0" w:right="0" w:firstLine="640" w:firstLineChars="200"/>
        <w:jc w:val="both"/>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第一部分 整体绩效目标</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楷体" w:hAnsi="楷体" w:eastAsia="楷体" w:cs="楷体"/>
          <w:b/>
          <w:bCs/>
          <w:sz w:val="32"/>
          <w:szCs w:val="32"/>
          <w:lang w:val="en-US" w:eastAsia="zh-CN"/>
        </w:rPr>
        <w:t xml:space="preserve">（一）总体绩效目标 </w:t>
      </w:r>
      <w:r>
        <w:rPr>
          <w:rFonts w:hint="eastAsia" w:ascii="仿宋" w:hAnsi="仿宋" w:eastAsia="仿宋" w:cs="仿宋"/>
          <w:kern w:val="2"/>
          <w:sz w:val="32"/>
          <w:szCs w:val="32"/>
          <w:lang w:val="en-US" w:eastAsia="zh-CN" w:bidi="ar"/>
        </w:rPr>
        <w:t>通过开展药品监督抽检工作，实现对辖区内流通、使用环节药品质量的有效监管，按时完成省、市药品监管部门下达的检验任务，全年开展药品检验、监测不少于300批次，促进我市药品质量安全总体水平不断提升。</w:t>
      </w:r>
      <w:bookmarkEnd w:id="0"/>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（二）分项绩效目标 </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仿宋" w:hAnsi="仿宋" w:eastAsia="仿宋" w:cs="仿宋"/>
          <w:b/>
          <w:sz w:val="32"/>
          <w:szCs w:val="32"/>
          <w:lang w:val="en-US" w:eastAsia="zh-CN"/>
        </w:rPr>
        <w:t>1.</w:t>
      </w:r>
      <w:r>
        <w:rPr>
          <w:rFonts w:hint="eastAsia" w:ascii="仿宋" w:hAnsi="仿宋" w:eastAsia="仿宋" w:cs="仿宋"/>
          <w:b/>
          <w:sz w:val="32"/>
          <w:szCs w:val="32"/>
        </w:rPr>
        <w:t>实验用试剂及玻璃仪器购置费</w:t>
      </w:r>
      <w:r>
        <w:rPr>
          <w:rFonts w:hint="eastAsia" w:ascii="仿宋" w:hAnsi="仿宋" w:eastAsia="仿宋" w:cs="仿宋"/>
          <w:b/>
          <w:sz w:val="32"/>
          <w:szCs w:val="32"/>
          <w:lang w:val="en-US" w:eastAsia="zh-CN"/>
        </w:rPr>
        <w:t xml:space="preserve"> </w:t>
      </w:r>
      <w:r>
        <w:rPr>
          <w:rFonts w:hint="eastAsia" w:ascii="仿宋" w:hAnsi="仿宋" w:eastAsia="仿宋" w:cs="仿宋"/>
          <w:kern w:val="2"/>
          <w:sz w:val="32"/>
          <w:szCs w:val="32"/>
          <w:lang w:val="en-US" w:eastAsia="zh-CN" w:bidi="ar"/>
        </w:rPr>
        <w:t>解决检验工作所需的试剂、玻璃仪器，确保完成省、市药品监管部门下达的药品抽检等检验任务，为药品监管提供技术支撑，保障人民群众用药安全。</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仿宋" w:hAnsi="仿宋" w:eastAsia="仿宋" w:cs="仿宋"/>
          <w:b/>
          <w:sz w:val="32"/>
          <w:szCs w:val="32"/>
          <w:lang w:val="en-US" w:eastAsia="zh-CN"/>
        </w:rPr>
        <w:t>2.</w:t>
      </w:r>
      <w:r>
        <w:rPr>
          <w:rFonts w:hint="eastAsia" w:ascii="仿宋" w:hAnsi="仿宋" w:eastAsia="仿宋" w:cs="仿宋"/>
          <w:b/>
          <w:sz w:val="32"/>
          <w:szCs w:val="32"/>
        </w:rPr>
        <w:t>实验用特殊耗材及标准物质购置费</w:t>
      </w:r>
      <w:r>
        <w:rPr>
          <w:rFonts w:hint="eastAsia" w:ascii="仿宋" w:hAnsi="仿宋" w:eastAsia="仿宋" w:cs="仿宋"/>
          <w:b/>
          <w:sz w:val="32"/>
          <w:szCs w:val="32"/>
          <w:lang w:val="en-US" w:eastAsia="zh-CN"/>
        </w:rPr>
        <w:t xml:space="preserve"> </w:t>
      </w:r>
      <w:r>
        <w:rPr>
          <w:rFonts w:hint="eastAsia" w:ascii="仿宋" w:hAnsi="仿宋" w:eastAsia="仿宋" w:cs="仿宋"/>
          <w:kern w:val="2"/>
          <w:sz w:val="32"/>
          <w:szCs w:val="32"/>
          <w:lang w:val="en-US" w:eastAsia="zh-CN" w:bidi="ar"/>
        </w:rPr>
        <w:t>解决检验工作所需的特殊耗材、标准物质，确保完成省、市药品监管部门下达的药品抽检等检验任务，为药品监管提供技术支撑，保障人民群众用药安全。</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仿宋" w:hAnsi="仿宋" w:eastAsia="仿宋" w:cs="仿宋"/>
          <w:b/>
          <w:sz w:val="32"/>
          <w:szCs w:val="32"/>
          <w:lang w:val="en-US" w:eastAsia="zh-CN"/>
        </w:rPr>
        <w:t xml:space="preserve">3.提前下达2020年省级食品药品监管补助经费（冀财行（2019）45号） </w:t>
      </w:r>
      <w:r>
        <w:rPr>
          <w:rFonts w:hint="eastAsia" w:ascii="仿宋" w:hAnsi="仿宋" w:eastAsia="仿宋" w:cs="仿宋"/>
          <w:kern w:val="2"/>
          <w:sz w:val="32"/>
          <w:szCs w:val="32"/>
          <w:lang w:val="en-US" w:eastAsia="zh-CN" w:bidi="ar"/>
        </w:rPr>
        <w:t>按省、市药品抽检计划要求，完成上级药品监管部门下达的药品抽检检验任务，为药品监管提供技术支撑，保障人民群众用药安全。</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（三）工作保障措施</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仿宋" w:hAnsi="仿宋" w:eastAsia="仿宋" w:cs="仿宋"/>
          <w:b/>
          <w:sz w:val="32"/>
          <w:szCs w:val="32"/>
          <w:lang w:val="en-US" w:eastAsia="zh-CN"/>
        </w:rPr>
        <w:t>1.</w:t>
      </w:r>
      <w:r>
        <w:rPr>
          <w:rFonts w:hint="eastAsia" w:ascii="仿宋" w:hAnsi="仿宋" w:eastAsia="仿宋" w:cs="仿宋"/>
          <w:b/>
          <w:sz w:val="32"/>
          <w:szCs w:val="32"/>
        </w:rPr>
        <w:t>实验用试剂及玻璃仪器购置费</w:t>
      </w:r>
      <w:r>
        <w:rPr>
          <w:rFonts w:hint="eastAsia" w:ascii="仿宋" w:hAnsi="仿宋" w:eastAsia="仿宋" w:cs="仿宋"/>
          <w:b/>
          <w:sz w:val="32"/>
          <w:szCs w:val="32"/>
          <w:lang w:val="en-US" w:eastAsia="zh-CN"/>
        </w:rPr>
        <w:t xml:space="preserve"> </w:t>
      </w:r>
      <w:r>
        <w:rPr>
          <w:rFonts w:hint="eastAsia" w:ascii="仿宋" w:hAnsi="仿宋" w:eastAsia="仿宋" w:cs="仿宋"/>
          <w:kern w:val="2"/>
          <w:sz w:val="32"/>
          <w:szCs w:val="32"/>
          <w:lang w:val="en-US" w:eastAsia="zh-CN" w:bidi="ar"/>
        </w:rPr>
        <w:t>按时完成试剂和玻璃仪器采购工作，购置试剂不少于40种共600瓶，玻璃仪器不少于20种共400件，确保供应及时，质量符合要求，保障药品检验工作顺利开展。</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仿宋" w:hAnsi="仿宋" w:eastAsia="仿宋" w:cs="仿宋"/>
          <w:b/>
          <w:sz w:val="32"/>
          <w:szCs w:val="32"/>
          <w:lang w:val="en-US" w:eastAsia="zh-CN"/>
        </w:rPr>
        <w:t>2.</w:t>
      </w:r>
      <w:r>
        <w:rPr>
          <w:rFonts w:hint="eastAsia" w:ascii="仿宋" w:hAnsi="仿宋" w:eastAsia="仿宋" w:cs="仿宋"/>
          <w:b/>
          <w:sz w:val="32"/>
          <w:szCs w:val="32"/>
        </w:rPr>
        <w:t>实验用特殊耗材及标准物质购置费</w:t>
      </w:r>
      <w:r>
        <w:rPr>
          <w:rFonts w:hint="eastAsia" w:ascii="仿宋" w:hAnsi="仿宋" w:eastAsia="仿宋" w:cs="仿宋"/>
          <w:b/>
          <w:sz w:val="32"/>
          <w:szCs w:val="32"/>
          <w:lang w:val="en-US" w:eastAsia="zh-CN"/>
        </w:rPr>
        <w:t xml:space="preserve"> </w:t>
      </w:r>
      <w:r>
        <w:rPr>
          <w:rFonts w:hint="eastAsia" w:ascii="仿宋" w:hAnsi="仿宋" w:eastAsia="仿宋" w:cs="仿宋"/>
          <w:kern w:val="2"/>
          <w:sz w:val="32"/>
          <w:szCs w:val="32"/>
          <w:lang w:val="en-US" w:eastAsia="zh-CN" w:bidi="ar"/>
        </w:rPr>
        <w:t>按时完成特殊耗材标准物质采购工作，购置特殊耗材不少于5种共40件，采购标准物质不少于50种共240支，确保供应及时，质量符合要求，保障药品检验工作顺利开展。</w:t>
      </w:r>
    </w:p>
    <w:p>
      <w:pPr>
        <w:keepNext w:val="0"/>
        <w:keepLines w:val="0"/>
        <w:widowControl w:val="0"/>
        <w:suppressLineNumbers w:val="0"/>
        <w:spacing w:before="0" w:beforeAutospacing="0" w:after="0" w:afterAutospacing="0" w:line="570" w:lineRule="exact"/>
        <w:ind w:left="0" w:right="0" w:firstLine="643" w:firstLineChars="200"/>
        <w:jc w:val="both"/>
        <w:rPr>
          <w:rFonts w:hint="eastAsia" w:ascii="仿宋" w:hAnsi="仿宋" w:eastAsia="仿宋" w:cs="仿宋"/>
          <w:kern w:val="2"/>
          <w:sz w:val="32"/>
          <w:szCs w:val="32"/>
          <w:lang w:val="en-US" w:eastAsia="zh-CN" w:bidi="ar"/>
        </w:rPr>
      </w:pPr>
      <w:r>
        <w:rPr>
          <w:rFonts w:hint="eastAsia" w:ascii="仿宋" w:hAnsi="仿宋" w:eastAsia="仿宋" w:cs="仿宋"/>
          <w:b/>
          <w:sz w:val="32"/>
          <w:szCs w:val="32"/>
          <w:lang w:val="en-US" w:eastAsia="zh-CN"/>
        </w:rPr>
        <w:t xml:space="preserve">3.提前下达2020年省级食品药品监管补助经费（冀财行（2019）45号） </w:t>
      </w:r>
      <w:r>
        <w:rPr>
          <w:rFonts w:hint="eastAsia" w:ascii="仿宋" w:hAnsi="仿宋" w:eastAsia="仿宋" w:cs="仿宋"/>
          <w:kern w:val="2"/>
          <w:sz w:val="32"/>
          <w:szCs w:val="32"/>
          <w:lang w:val="en-US" w:eastAsia="zh-CN" w:bidi="ar"/>
        </w:rPr>
        <w:t>按省、市药品抽检计划要求完成药品抽检任务，抽检准确率达到100%，品种、项目达到规定要求。</w:t>
      </w:r>
    </w:p>
    <w:p>
      <w:pPr>
        <w:keepNext w:val="0"/>
        <w:keepLines w:val="0"/>
        <w:widowControl w:val="0"/>
        <w:suppressLineNumbers w:val="0"/>
        <w:spacing w:before="0" w:beforeAutospacing="0" w:after="0" w:afterAutospacing="0" w:line="570" w:lineRule="exact"/>
        <w:ind w:left="0" w:right="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第二部分 资金绩效目标</w:t>
      </w:r>
    </w:p>
    <w:p>
      <w:pPr>
        <w:ind w:firstLine="643" w:firstLineChars="200"/>
        <w:jc w:val="left"/>
        <w:outlineLvl w:val="1"/>
        <w:rPr>
          <w:rFonts w:ascii="Times New Roman" w:eastAsia="宋体"/>
          <w:b/>
          <w:sz w:val="32"/>
          <w:szCs w:val="32"/>
        </w:rPr>
      </w:pPr>
      <w:r>
        <w:rPr>
          <w:rFonts w:hint="eastAsia" w:ascii="仿宋" w:hAnsi="仿宋" w:eastAsia="仿宋" w:cs="仿宋"/>
          <w:b/>
          <w:sz w:val="32"/>
          <w:szCs w:val="32"/>
          <w:lang w:val="en-US" w:eastAsia="zh-CN"/>
        </w:rPr>
        <w:t>1.</w:t>
      </w:r>
      <w:r>
        <w:rPr>
          <w:rFonts w:hint="eastAsia" w:ascii="仿宋" w:hAnsi="仿宋" w:eastAsia="仿宋" w:cs="仿宋"/>
          <w:b/>
          <w:sz w:val="32"/>
          <w:szCs w:val="32"/>
        </w:rPr>
        <w:t>实验用试剂及玻璃仪器购置费绩效目标表</w:t>
      </w:r>
      <w:r>
        <w:rPr>
          <w:rFonts w:hint="eastAsia" w:ascii="方正仿宋_GBK" w:eastAsia="方正仿宋_GBK"/>
          <w:b/>
          <w:vanish/>
          <w:sz w:val="32"/>
          <w:szCs w:val="32"/>
        </w:rPr>
        <w:t xml:space="preserve">{ TC </w:t>
      </w:r>
      <w:bookmarkStart w:id="1" w:name="_Toc29760899"/>
      <w:r>
        <w:rPr>
          <w:rFonts w:hint="eastAsia" w:ascii="方正仿宋_GBK" w:eastAsia="方正仿宋_GBK"/>
          <w:b/>
          <w:vanish/>
          <w:sz w:val="32"/>
          <w:szCs w:val="32"/>
        </w:rPr>
        <w:t>64、实验用试剂及玻璃仪器购置费绩效目标表</w:t>
      </w:r>
      <w:bookmarkEnd w:id="1"/>
      <w:r>
        <w:rPr>
          <w:rFonts w:hint="eastAsia" w:ascii="方正仿宋_GBK" w:eastAsia="方正仿宋_GBK"/>
          <w:b/>
          <w:vanish/>
          <w:sz w:val="32"/>
          <w:szCs w:val="32"/>
        </w:rPr>
        <w:t xml:space="preserve"> \f C \l 1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绩效目标</w:t>
            </w:r>
          </w:p>
        </w:tc>
        <w:tc>
          <w:tcPr>
            <w:tcW w:w="8278" w:type="dxa"/>
            <w:tcBorders>
              <w:bottom w:val="nil"/>
            </w:tcBorders>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1、通过开展本项目，解决检验工作所需的试剂、玻璃仪器，确保完成省、市药品监管部门下达的药品抽检等检验任务，为药品监管提供技术支撑，保障人民群众用药安全。</w:t>
            </w:r>
          </w:p>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2、按时完成试剂和玻璃仪器采购工作，购置试剂不少于40种共600瓶，玻璃仪器不少于20种共400件，确保供应及时，质量符合要求，保障药品检验工作顺利开展。</w:t>
            </w:r>
          </w:p>
        </w:tc>
      </w:tr>
    </w:tbl>
    <w:p>
      <w:pPr>
        <w:spacing w:line="14" w:lineRule="exact"/>
        <w:ind w:firstLine="420" w:firstLineChars="200"/>
        <w:jc w:val="center"/>
        <w:rPr>
          <w:rFonts w:ascii="Times New Roman" w:eastAsia="宋体"/>
        </w:rPr>
      </w:pPr>
      <w:r>
        <w:rPr>
          <w:rFonts w:hint="eastAsia"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一级指标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二级指标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三级指标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绩效指标描述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指标值</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产出指标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数量指标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化学试剂采购量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按照检验工作需要采购的各种等级、规格的化学试剂数量</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≥600瓶</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数量指标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玻璃仪器采购量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按照检验工作需要采购的常规、量具、专用等类别的玻璃仪器件数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≥400件</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化学试剂合格率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质量符合要求的试剂数量÷试剂采购总量</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≥95%</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玻璃仪器合格率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质量符合要求的玻璃仪器数量÷玻璃仪器采购总量</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≥90%</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时效指标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采购完成时间</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确定供应商签订合同并形成实际支出的时间</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≤6月</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按采购方案要求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成本指标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采购总成本</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化学试剂采购成本（按合同金额）+玻璃仪器采购成本（按合同金额）</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≤17万元</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提升药品质量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本项目用于完成药品检验任务，促进我市药品质量提升，检验任务全部或超额完成为100%。</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100%（H17）</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《2019年河北省药品监督抽检计划》《2019年廊坊市药品监督抽验计划》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可持续影响指标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长期效果</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本项目可促进我市药品质量提升，具有长期效果。</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≥1年</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《廊坊市食品药品安全“十三五”规划》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质量满意度</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根据验收情况，使用科室对试剂、玻璃仪器质量的满意度测评（结果为满意的测评次数占测评总次数的比例）</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≥95%</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供应品符合性验收规程及资料</w:t>
            </w:r>
          </w:p>
        </w:tc>
      </w:tr>
    </w:tbl>
    <w:p>
      <w:pPr>
        <w:ind w:firstLine="643" w:firstLineChars="200"/>
        <w:jc w:val="left"/>
        <w:outlineLvl w:val="1"/>
        <w:rPr>
          <w:rFonts w:hint="eastAsia" w:ascii="仿宋" w:hAnsi="仿宋" w:eastAsia="仿宋" w:cs="仿宋"/>
          <w:b/>
          <w:sz w:val="28"/>
        </w:rPr>
      </w:pPr>
      <w:r>
        <w:rPr>
          <w:rFonts w:hint="eastAsia" w:ascii="仿宋" w:hAnsi="仿宋" w:eastAsia="仿宋" w:cs="仿宋"/>
          <w:b/>
          <w:sz w:val="32"/>
          <w:szCs w:val="32"/>
          <w:lang w:val="en-US" w:eastAsia="zh-CN"/>
        </w:rPr>
        <w:t>2.</w:t>
      </w:r>
      <w:r>
        <w:rPr>
          <w:rFonts w:hint="eastAsia" w:ascii="仿宋" w:hAnsi="仿宋" w:eastAsia="仿宋" w:cs="仿宋"/>
          <w:b/>
          <w:sz w:val="32"/>
          <w:szCs w:val="32"/>
        </w:rPr>
        <w:t>实验用特殊耗材及标准物质购置费绩效目标表</w:t>
      </w:r>
      <w:r>
        <w:rPr>
          <w:rFonts w:hint="eastAsia" w:ascii="仿宋" w:hAnsi="仿宋" w:eastAsia="仿宋" w:cs="仿宋"/>
          <w:b/>
          <w:vanish/>
          <w:sz w:val="28"/>
        </w:rPr>
        <w:t xml:space="preserve">{ TC </w:t>
      </w:r>
      <w:bookmarkStart w:id="2" w:name="_Toc29760900"/>
      <w:r>
        <w:rPr>
          <w:rFonts w:hint="eastAsia" w:ascii="仿宋" w:hAnsi="仿宋" w:eastAsia="仿宋" w:cs="仿宋"/>
          <w:b/>
          <w:vanish/>
          <w:sz w:val="28"/>
        </w:rPr>
        <w:t>65、实验用特殊耗材及标准物质购置费绩效目标表</w:t>
      </w:r>
      <w:bookmarkEnd w:id="2"/>
      <w:r>
        <w:rPr>
          <w:rFonts w:hint="eastAsia" w:ascii="仿宋" w:hAnsi="仿宋" w:eastAsia="仿宋" w:cs="仿宋"/>
          <w:b/>
          <w:vanish/>
          <w:sz w:val="28"/>
        </w:rPr>
        <w:t xml:space="preserve"> \f C \l 1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绩效目标</w:t>
            </w:r>
          </w:p>
        </w:tc>
        <w:tc>
          <w:tcPr>
            <w:tcW w:w="8278" w:type="dxa"/>
            <w:tcBorders>
              <w:bottom w:val="nil"/>
            </w:tcBorders>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1、通过开展本项目，解决检验工作所需的特殊耗材、标准物质，确保完成省、市药品监管部门下达的药品抽检等检验任务，为药品监管提供技术支撑，保障人民群众用药安全。</w:t>
            </w:r>
          </w:p>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2、按时完成特殊耗材标准物质采购工作，购置特殊耗材不少于5种共40件，采购标准物质不少于50种共240支，确保供应及时，质量符合要求，保障药品检验工作顺利开展。</w:t>
            </w:r>
          </w:p>
        </w:tc>
      </w:tr>
    </w:tbl>
    <w:p>
      <w:pPr>
        <w:spacing w:line="14" w:lineRule="exact"/>
        <w:ind w:firstLine="420" w:firstLineChars="200"/>
        <w:jc w:val="center"/>
        <w:rPr>
          <w:rFonts w:ascii="Times New Roman" w:eastAsia="宋体"/>
        </w:rPr>
      </w:pPr>
      <w:r>
        <w:rPr>
          <w:rFonts w:hint="eastAsia"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一级指标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二级指标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三级指标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绩效指标描述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指标值</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产出指标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数量指标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特殊耗材采购量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按照检验工作需要采购的各种类别、规格的特殊耗材数量</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≥40件</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数量指标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标准物质采购量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按照检验工作需要采购的标准物质总数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≥240支</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特殊耗材合格率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质量符合要求的特殊耗材数量÷特殊耗材采购总量</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≥95%</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标准物质合格率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质量符合要求的标准物质数量÷标准物质采购总量</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≥99%</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本所供应品符合性验收规程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时效指标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采购完成时间</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确定供应商签订合同并形成实际支出的时间</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≤6月</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按采购方案要求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成本指标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采购总成本</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特殊耗材采购合同金额+标准物质采购合同金额</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≤22万元</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按往年检验工作需要及采购量估算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提升药品质量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本项目用于完成药品检验任务，促进我市药品质量提升，检验任务全部或超额完成为100%。</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100%（H17）</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《2019年河北省药品监督抽检计划》《2019年廊坊市药品监督抽验计划》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可持续影响指标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长期效果</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 xml:space="preserve">本项目可促进我市药品质量提升，具有长期效果。 </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≥1年</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《廊坊市食品药品安全“十三五”规划》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质量满意度</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根据验收情况，使用科室对特殊耗材、标准物质采购质量的满意度测评（结果为满意的测评次数占测评总次数的比例）</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≥95%</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供应品符合性验收规程及资料</w:t>
            </w:r>
          </w:p>
        </w:tc>
      </w:tr>
    </w:tbl>
    <w:p>
      <w:pPr>
        <w:ind w:firstLine="643" w:firstLineChars="200"/>
        <w:jc w:val="left"/>
        <w:outlineLvl w:val="1"/>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3.提前下达2020年省级食品药品监管补助经费（冀财行（2019）45号）绩效目标表</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绩效目标</w:t>
            </w:r>
          </w:p>
        </w:tc>
        <w:tc>
          <w:tcPr>
            <w:tcW w:w="8278" w:type="dxa"/>
            <w:tcBorders>
              <w:bottom w:val="nil"/>
            </w:tcBorders>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1、按省、市药品抽检计划要求，完成上级药品监管部门下达的药品抽检检验任务，为药品监管提供技术支撑，保障人民群众用药安全。</w:t>
            </w:r>
          </w:p>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2、为开展省级药品抽检工作提供资金保障，按省、市药品抽检计划要求完成药品抽检任务，抽检准确率达到100%，品种、项目达到规定要求。</w:t>
            </w:r>
          </w:p>
        </w:tc>
      </w:tr>
    </w:tbl>
    <w:p>
      <w:pPr>
        <w:spacing w:line="14" w:lineRule="exact"/>
        <w:ind w:firstLine="420" w:firstLineChars="200"/>
        <w:jc w:val="center"/>
        <w:rPr>
          <w:rFonts w:ascii="Times New Roman" w:eastAsia="宋体"/>
        </w:rPr>
      </w:pPr>
      <w:r>
        <w:rPr>
          <w:rFonts w:hint="eastAsia"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一级指标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二级指标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三级指标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绩效指标描述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指标值</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产出指标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数量指标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药品检验完成批数</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按照省市药品抽检计划等要求，全年开展的药品检验、监测等任务批数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≥300批</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《2020年河北省药品监督抽检计划》《2020年廊坊市药品监督抽验计划》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质量指标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样品检测率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按抽检计划抽取的样品全部进行检验，样品检测率为100%，超额完成为大于100%</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≥100%</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成本指标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每批平均检验成本</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药品监管补助经费(检验费)支出÷全年检验任务批数</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≤3000元</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时效指标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检验及时率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在省市药品抽检计划规定时限内完成的批数占全年任务总批数的比例</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≥95%</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提升药品质量</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本项目用于完成药品抽检检验任务，促进我市药品质量总体水平提升，检验任务全部完成为100%，超额完成为大于100%。</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≥100%</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《2020年河北省药品监督抽检计划》《2020年廊坊市药品监督抽验计划》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pPr>
              <w:keepNext w:val="0"/>
              <w:keepLines w:val="0"/>
              <w:suppressLineNumbers w:val="0"/>
              <w:spacing w:before="0" w:beforeAutospacing="0" w:after="0" w:afterAutospacing="0"/>
              <w:ind w:left="0" w:right="0"/>
              <w:rPr>
                <w:rFonts w:hint="default"/>
              </w:rPr>
            </w:pP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可持续影响指标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长期效果</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本项目可促进我市药品质量提升，具有长期效果。</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≥1年</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《廊坊市食品药品安全“十三五”规划》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检验检测客户满意率</w:t>
            </w:r>
          </w:p>
        </w:tc>
        <w:tc>
          <w:tcPr>
            <w:tcW w:w="289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根据年度满意度测评结果，结果为满意的测评次数占测评总次数的比例</w:t>
            </w:r>
          </w:p>
        </w:tc>
        <w:tc>
          <w:tcPr>
            <w:tcW w:w="1276"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≥95%</w:t>
            </w:r>
          </w:p>
        </w:tc>
        <w:tc>
          <w:tcPr>
            <w:tcW w:w="1701" w:type="dxa"/>
            <w:shd w:val="clear" w:color="auto" w:fill="auto"/>
            <w:vAlign w:val="center"/>
          </w:tcPr>
          <w:p>
            <w:pPr>
              <w:keepNext w:val="0"/>
              <w:keepLines w:val="0"/>
              <w:suppressLineNumbers w:val="0"/>
              <w:spacing w:before="0" w:beforeAutospacing="0" w:after="0" w:afterAutospacing="0" w:line="300" w:lineRule="exact"/>
              <w:ind w:left="0" w:right="0"/>
              <w:jc w:val="left"/>
              <w:rPr>
                <w:rFonts w:hint="eastAsia" w:ascii="方正书宋_GBK" w:eastAsia="方正书宋_GBK"/>
              </w:rPr>
            </w:pPr>
            <w:r>
              <w:rPr>
                <w:rFonts w:hint="eastAsia" w:ascii="方正书宋_GBK" w:eastAsia="方正书宋_GBK"/>
              </w:rPr>
              <w:t>本所质量管理规定</w:t>
            </w:r>
          </w:p>
        </w:tc>
      </w:tr>
    </w:tbl>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六、政府采购预算情况</w:t>
      </w:r>
    </w:p>
    <w:p>
      <w:pPr>
        <w:ind w:firstLine="640" w:firstLineChars="200"/>
        <w:outlineLvl w:val="0"/>
        <w:rPr>
          <w:rFonts w:ascii="仿宋" w:hAnsi="仿宋" w:eastAsia="仿宋" w:cs="Times New Roman"/>
          <w:sz w:val="32"/>
          <w:szCs w:val="32"/>
        </w:rPr>
      </w:pPr>
      <w:bookmarkStart w:id="3" w:name="_Toc471398468"/>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年，我部门安排政府采购预算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bookmarkEnd w:id="3"/>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七、国有资产信息</w:t>
      </w:r>
    </w:p>
    <w:p>
      <w:pPr>
        <w:ind w:firstLine="640"/>
        <w:rPr>
          <w:rFonts w:ascii="仿宋" w:hAnsi="仿宋" w:eastAsia="仿宋" w:cs="Times New Roman"/>
          <w:sz w:val="32"/>
          <w:szCs w:val="32"/>
        </w:rPr>
      </w:pPr>
      <w:r>
        <w:rPr>
          <w:rFonts w:hint="eastAsia" w:ascii="仿宋" w:hAnsi="仿宋" w:eastAsia="仿宋" w:cs="仿宋"/>
          <w:sz w:val="32"/>
          <w:szCs w:val="32"/>
        </w:rPr>
        <w:t>廊坊市药品检验所上年末固定资产金额为</w:t>
      </w:r>
      <w:r>
        <w:rPr>
          <w:rFonts w:ascii="仿宋" w:hAnsi="仿宋" w:eastAsia="仿宋" w:cs="仿宋"/>
          <w:sz w:val="32"/>
          <w:szCs w:val="32"/>
        </w:rPr>
        <w:t>2879.97</w:t>
      </w:r>
      <w:r>
        <w:rPr>
          <w:rFonts w:hint="eastAsia" w:ascii="仿宋" w:hAnsi="仿宋" w:eastAsia="仿宋" w:cs="仿宋"/>
          <w:sz w:val="32"/>
          <w:szCs w:val="32"/>
        </w:rPr>
        <w:t>万元，详见下表。</w:t>
      </w:r>
    </w:p>
    <w:p>
      <w:pPr>
        <w:ind w:firstLine="640"/>
        <w:rPr>
          <w:rFonts w:ascii="仿宋" w:hAnsi="仿宋" w:eastAsia="仿宋" w:cs="仿宋"/>
          <w:sz w:val="32"/>
          <w:szCs w:val="32"/>
        </w:rPr>
      </w:pPr>
      <w:r>
        <w:rPr>
          <w:rFonts w:hint="eastAsia" w:ascii="仿宋" w:hAnsi="仿宋" w:eastAsia="仿宋" w:cs="仿宋"/>
          <w:sz w:val="32"/>
          <w:szCs w:val="32"/>
        </w:rPr>
        <w:t>本年度我部门拟购置固定资产为</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 xml:space="preserve"> </w:t>
      </w:r>
    </w:p>
    <w:p>
      <w:pPr>
        <w:spacing w:line="300" w:lineRule="exact"/>
        <w:jc w:val="left"/>
        <w:outlineLvl w:val="0"/>
        <w:rPr>
          <w:rFonts w:ascii="仿宋" w:hAnsi="仿宋" w:eastAsia="仿宋" w:cs="Times New Roman"/>
          <w:sz w:val="32"/>
          <w:szCs w:val="32"/>
        </w:rPr>
        <w:sectPr>
          <w:footerReference r:id="rId3" w:type="default"/>
          <w:pgSz w:w="11905" w:h="16838"/>
          <w:pgMar w:top="1701" w:right="1417" w:bottom="1417" w:left="1417" w:header="851" w:footer="992" w:gutter="0"/>
          <w:cols w:space="0" w:num="1"/>
          <w:rtlGutter w:val="0"/>
          <w:docGrid w:type="lines" w:linePitch="312" w:charSpace="0"/>
        </w:sectPr>
      </w:pPr>
    </w:p>
    <w:p>
      <w:pPr>
        <w:ind w:firstLine="640"/>
        <w:rPr>
          <w:rFonts w:ascii="仿宋_GB2312" w:hAnsi="黑体" w:eastAsia="仿宋_GB2312" w:cs="Times New Roman"/>
          <w:sz w:val="32"/>
          <w:szCs w:val="32"/>
        </w:rPr>
      </w:pPr>
    </w:p>
    <w:tbl>
      <w:tblPr>
        <w:tblStyle w:val="8"/>
        <w:tblW w:w="13482" w:type="dxa"/>
        <w:jc w:val="center"/>
        <w:tblLayout w:type="fixed"/>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jc w:val="center"/>
        </w:trPr>
        <w:tc>
          <w:tcPr>
            <w:tcW w:w="13482"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Times New Roman"/>
                <w:b/>
                <w:bCs/>
                <w:kern w:val="0"/>
                <w:sz w:val="32"/>
                <w:szCs w:val="32"/>
              </w:rPr>
            </w:pPr>
            <w:r>
              <w:rPr>
                <w:rFonts w:hint="eastAsia" w:ascii="仿宋" w:hAnsi="仿宋" w:eastAsia="仿宋" w:cs="仿宋"/>
                <w:b/>
                <w:bCs/>
                <w:kern w:val="0"/>
                <w:sz w:val="32"/>
                <w:szCs w:val="32"/>
              </w:rPr>
              <w:t>廊坊市市直部门固定资产占用情况表</w:t>
            </w:r>
          </w:p>
        </w:tc>
      </w:tr>
      <w:tr>
        <w:tblPrEx>
          <w:tblCellMar>
            <w:top w:w="0" w:type="dxa"/>
            <w:left w:w="108" w:type="dxa"/>
            <w:bottom w:w="0" w:type="dxa"/>
            <w:right w:w="108" w:type="dxa"/>
          </w:tblCellMar>
        </w:tblPrEx>
        <w:trPr>
          <w:trHeight w:val="510" w:hRule="atLeast"/>
          <w:jc w:val="center"/>
        </w:trPr>
        <w:tc>
          <w:tcPr>
            <w:tcW w:w="837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eastAsia" w:ascii="仿宋" w:hAnsi="仿宋" w:eastAsia="仿宋" w:cs="仿宋"/>
                <w:kern w:val="0"/>
                <w:sz w:val="32"/>
                <w:szCs w:val="32"/>
              </w:rPr>
              <w:t>编制部门：廊坊市药品检验所</w:t>
            </w:r>
          </w:p>
        </w:tc>
        <w:tc>
          <w:tcPr>
            <w:tcW w:w="5103"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eastAsia" w:ascii="仿宋" w:hAnsi="仿宋" w:eastAsia="仿宋" w:cs="仿宋"/>
                <w:kern w:val="0"/>
                <w:sz w:val="32"/>
                <w:szCs w:val="32"/>
              </w:rPr>
              <w:t>截止时间：</w:t>
            </w:r>
            <w:r>
              <w:rPr>
                <w:rFonts w:hint="default" w:ascii="仿宋" w:hAnsi="仿宋" w:eastAsia="仿宋" w:cs="仿宋"/>
                <w:kern w:val="0"/>
                <w:sz w:val="32"/>
                <w:szCs w:val="32"/>
              </w:rPr>
              <w:t>201</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年</w:t>
            </w:r>
            <w:r>
              <w:rPr>
                <w:rFonts w:hint="default" w:ascii="仿宋" w:hAnsi="仿宋" w:eastAsia="仿宋" w:cs="仿宋"/>
                <w:kern w:val="0"/>
                <w:sz w:val="32"/>
                <w:szCs w:val="32"/>
              </w:rPr>
              <w:t>12</w:t>
            </w:r>
            <w:r>
              <w:rPr>
                <w:rFonts w:hint="eastAsia" w:ascii="仿宋" w:hAnsi="仿宋" w:eastAsia="仿宋" w:cs="仿宋"/>
                <w:kern w:val="0"/>
                <w:sz w:val="32"/>
                <w:szCs w:val="32"/>
              </w:rPr>
              <w:t>月</w:t>
            </w:r>
            <w:r>
              <w:rPr>
                <w:rFonts w:hint="default" w:ascii="仿宋" w:hAnsi="仿宋" w:eastAsia="仿宋" w:cs="仿宋"/>
                <w:kern w:val="0"/>
                <w:sz w:val="32"/>
                <w:szCs w:val="32"/>
              </w:rPr>
              <w:t>31</w:t>
            </w:r>
            <w:r>
              <w:rPr>
                <w:rFonts w:hint="eastAsia" w:ascii="仿宋" w:hAnsi="仿宋" w:eastAsia="仿宋" w:cs="仿宋"/>
                <w:kern w:val="0"/>
                <w:sz w:val="32"/>
                <w:szCs w:val="32"/>
              </w:rPr>
              <w:t>日</w:t>
            </w:r>
            <w:r>
              <w:rPr>
                <w:rFonts w:hint="default" w:ascii="仿宋" w:hAnsi="仿宋" w:eastAsia="仿宋" w:cs="仿宋"/>
                <w:kern w:val="0"/>
                <w:sz w:val="32"/>
                <w:szCs w:val="32"/>
              </w:rPr>
              <w:t xml:space="preserve">  </w:t>
            </w:r>
          </w:p>
        </w:tc>
      </w:tr>
      <w:tr>
        <w:tblPrEx>
          <w:tblCellMar>
            <w:top w:w="0" w:type="dxa"/>
            <w:left w:w="108" w:type="dxa"/>
            <w:bottom w:w="0" w:type="dxa"/>
            <w:right w:w="108" w:type="dxa"/>
          </w:tblCellMar>
        </w:tblPrEx>
        <w:trPr>
          <w:trHeight w:val="567" w:hRule="exact"/>
          <w:jc w:val="center"/>
        </w:trPr>
        <w:tc>
          <w:tcPr>
            <w:tcW w:w="522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Times New Roman"/>
                <w:b/>
                <w:bCs/>
                <w:kern w:val="0"/>
                <w:sz w:val="22"/>
                <w:szCs w:val="22"/>
              </w:rPr>
            </w:pPr>
            <w:r>
              <w:rPr>
                <w:rFonts w:hint="eastAsia" w:ascii="仿宋" w:hAnsi="仿宋" w:eastAsia="仿宋" w:cs="仿宋"/>
                <w:b/>
                <w:bCs/>
                <w:kern w:val="0"/>
                <w:sz w:val="32"/>
                <w:szCs w:val="32"/>
              </w:rPr>
              <w:t>项</w:t>
            </w:r>
            <w:r>
              <w:rPr>
                <w:rFonts w:hint="default" w:ascii="仿宋" w:hAnsi="仿宋" w:eastAsia="仿宋" w:cs="仿宋"/>
                <w:b/>
                <w:bCs/>
                <w:kern w:val="0"/>
                <w:sz w:val="32"/>
                <w:szCs w:val="32"/>
              </w:rPr>
              <w:t xml:space="preserve">   </w:t>
            </w:r>
            <w:r>
              <w:rPr>
                <w:rFonts w:hint="eastAsia" w:ascii="仿宋" w:hAnsi="仿宋" w:eastAsia="仿宋" w:cs="仿宋"/>
                <w:b/>
                <w:bCs/>
                <w:kern w:val="0"/>
                <w:sz w:val="32"/>
                <w:szCs w:val="32"/>
              </w:rPr>
              <w:t>目</w:t>
            </w:r>
          </w:p>
        </w:tc>
        <w:tc>
          <w:tcPr>
            <w:tcW w:w="31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Times New Roman"/>
                <w:b/>
                <w:bCs/>
                <w:kern w:val="0"/>
                <w:sz w:val="22"/>
                <w:szCs w:val="22"/>
              </w:rPr>
            </w:pPr>
            <w:r>
              <w:rPr>
                <w:rFonts w:hint="eastAsia" w:ascii="仿宋" w:hAnsi="仿宋" w:eastAsia="仿宋" w:cs="仿宋"/>
                <w:b/>
                <w:bCs/>
                <w:kern w:val="0"/>
                <w:sz w:val="32"/>
                <w:szCs w:val="32"/>
              </w:rPr>
              <w:t>数量</w:t>
            </w:r>
          </w:p>
        </w:tc>
        <w:tc>
          <w:tcPr>
            <w:tcW w:w="51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Times New Roman"/>
                <w:b/>
                <w:bCs/>
                <w:kern w:val="0"/>
                <w:sz w:val="22"/>
                <w:szCs w:val="22"/>
              </w:rPr>
            </w:pPr>
            <w:r>
              <w:rPr>
                <w:rFonts w:hint="eastAsia" w:ascii="仿宋" w:hAnsi="仿宋" w:eastAsia="仿宋" w:cs="仿宋"/>
                <w:b/>
                <w:bCs/>
                <w:kern w:val="0"/>
                <w:sz w:val="32"/>
                <w:szCs w:val="32"/>
              </w:rPr>
              <w:t>价值（金额单位：万元）</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Times New Roman"/>
                <w:kern w:val="0"/>
                <w:sz w:val="22"/>
                <w:szCs w:val="22"/>
              </w:rPr>
            </w:pPr>
            <w:r>
              <w:rPr>
                <w:rFonts w:hint="eastAsia" w:ascii="仿宋" w:hAnsi="仿宋" w:eastAsia="仿宋" w:cs="仿宋"/>
                <w:kern w:val="0"/>
                <w:sz w:val="32"/>
                <w:szCs w:val="32"/>
              </w:rPr>
              <w:t>资产总额</w:t>
            </w:r>
          </w:p>
        </w:tc>
        <w:tc>
          <w:tcPr>
            <w:tcW w:w="315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w:t>
            </w:r>
          </w:p>
        </w:tc>
        <w:tc>
          <w:tcPr>
            <w:tcW w:w="51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lang w:val="en-US" w:eastAsia="zh-CN"/>
              </w:rPr>
            </w:pPr>
            <w:r>
              <w:rPr>
                <w:rFonts w:hint="eastAsia" w:ascii="仿宋" w:hAnsi="仿宋" w:eastAsia="仿宋" w:cs="仿宋"/>
                <w:color w:val="auto"/>
                <w:sz w:val="32"/>
                <w:szCs w:val="32"/>
                <w:lang w:val="en-US" w:eastAsia="zh-CN"/>
              </w:rPr>
              <w:t>3032.48</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default" w:ascii="仿宋" w:hAnsi="仿宋" w:eastAsia="仿宋" w:cs="仿宋"/>
                <w:kern w:val="0"/>
                <w:sz w:val="32"/>
                <w:szCs w:val="32"/>
              </w:rPr>
              <w:t>1</w:t>
            </w:r>
            <w:r>
              <w:rPr>
                <w:rFonts w:hint="eastAsia" w:ascii="仿宋" w:hAnsi="仿宋" w:eastAsia="仿宋" w:cs="仿宋"/>
                <w:kern w:val="0"/>
                <w:sz w:val="32"/>
                <w:szCs w:val="32"/>
              </w:rPr>
              <w:t>、房屋（平方米）</w:t>
            </w:r>
          </w:p>
        </w:tc>
        <w:tc>
          <w:tcPr>
            <w:tcW w:w="315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2204.13</w:t>
            </w:r>
          </w:p>
        </w:tc>
        <w:tc>
          <w:tcPr>
            <w:tcW w:w="51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147.81</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default" w:ascii="仿宋" w:hAnsi="仿宋" w:eastAsia="仿宋" w:cs="仿宋"/>
                <w:kern w:val="0"/>
                <w:sz w:val="32"/>
                <w:szCs w:val="32"/>
              </w:rPr>
              <w:t xml:space="preserve">   </w:t>
            </w:r>
            <w:r>
              <w:rPr>
                <w:rFonts w:hint="eastAsia" w:ascii="仿宋" w:hAnsi="仿宋" w:eastAsia="仿宋" w:cs="仿宋"/>
                <w:kern w:val="0"/>
                <w:sz w:val="32"/>
                <w:szCs w:val="32"/>
              </w:rPr>
              <w:t>其中：办公用房（平方米）</w:t>
            </w:r>
          </w:p>
        </w:tc>
        <w:tc>
          <w:tcPr>
            <w:tcW w:w="315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1682</w:t>
            </w:r>
          </w:p>
        </w:tc>
        <w:tc>
          <w:tcPr>
            <w:tcW w:w="51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147.81</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default" w:ascii="仿宋" w:hAnsi="仿宋" w:eastAsia="仿宋" w:cs="仿宋"/>
                <w:kern w:val="0"/>
                <w:sz w:val="32"/>
                <w:szCs w:val="32"/>
              </w:rPr>
              <w:t>2</w:t>
            </w:r>
            <w:r>
              <w:rPr>
                <w:rFonts w:hint="eastAsia" w:ascii="仿宋" w:hAnsi="仿宋" w:eastAsia="仿宋" w:cs="仿宋"/>
                <w:kern w:val="0"/>
                <w:sz w:val="32"/>
                <w:szCs w:val="32"/>
              </w:rPr>
              <w:t>、车辆（台、辆）</w:t>
            </w:r>
          </w:p>
        </w:tc>
        <w:tc>
          <w:tcPr>
            <w:tcW w:w="315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3</w:t>
            </w:r>
          </w:p>
        </w:tc>
        <w:tc>
          <w:tcPr>
            <w:tcW w:w="51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 w:cs="Times New Roman"/>
                <w:color w:val="auto"/>
                <w:sz w:val="22"/>
                <w:szCs w:val="22"/>
                <w:lang w:val="en-US" w:eastAsia="zh-CN"/>
              </w:rPr>
            </w:pPr>
            <w:r>
              <w:rPr>
                <w:rFonts w:hint="default" w:ascii="仿宋" w:hAnsi="仿宋" w:eastAsia="仿宋" w:cs="仿宋"/>
                <w:color w:val="auto"/>
                <w:sz w:val="32"/>
                <w:szCs w:val="32"/>
              </w:rPr>
              <w:t>59.</w:t>
            </w:r>
            <w:r>
              <w:rPr>
                <w:rFonts w:hint="eastAsia" w:ascii="仿宋" w:hAnsi="仿宋" w:eastAsia="仿宋" w:cs="仿宋"/>
                <w:color w:val="auto"/>
                <w:sz w:val="32"/>
                <w:szCs w:val="32"/>
                <w:lang w:val="en-US" w:eastAsia="zh-CN"/>
              </w:rPr>
              <w:t>05</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default" w:ascii="仿宋" w:hAnsi="仿宋" w:eastAsia="仿宋" w:cs="仿宋"/>
                <w:kern w:val="0"/>
                <w:sz w:val="32"/>
                <w:szCs w:val="32"/>
              </w:rPr>
              <w:t>3</w:t>
            </w:r>
            <w:r>
              <w:rPr>
                <w:rFonts w:hint="eastAsia" w:ascii="仿宋" w:hAnsi="仿宋" w:eastAsia="仿宋" w:cs="仿宋"/>
                <w:kern w:val="0"/>
                <w:sz w:val="32"/>
                <w:szCs w:val="32"/>
              </w:rPr>
              <w:t>、单价在</w:t>
            </w:r>
            <w:r>
              <w:rPr>
                <w:rFonts w:hint="default" w:ascii="仿宋" w:hAnsi="仿宋" w:eastAsia="仿宋" w:cs="仿宋"/>
                <w:kern w:val="0"/>
                <w:sz w:val="32"/>
                <w:szCs w:val="32"/>
              </w:rPr>
              <w:t>20</w:t>
            </w:r>
            <w:r>
              <w:rPr>
                <w:rFonts w:hint="eastAsia" w:ascii="仿宋" w:hAnsi="仿宋" w:eastAsia="仿宋" w:cs="仿宋"/>
                <w:kern w:val="0"/>
                <w:sz w:val="32"/>
                <w:szCs w:val="32"/>
              </w:rPr>
              <w:t>万元以上的设备</w:t>
            </w:r>
          </w:p>
        </w:tc>
        <w:tc>
          <w:tcPr>
            <w:tcW w:w="315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 w:cs="Times New Roman"/>
                <w:color w:val="auto"/>
                <w:sz w:val="22"/>
                <w:szCs w:val="22"/>
                <w:lang w:val="en-US" w:eastAsia="zh-CN"/>
              </w:rPr>
            </w:pPr>
            <w:r>
              <w:rPr>
                <w:rFonts w:hint="eastAsia" w:ascii="仿宋" w:hAnsi="仿宋" w:eastAsia="仿宋" w:cs="仿宋"/>
                <w:color w:val="auto"/>
                <w:sz w:val="32"/>
                <w:szCs w:val="32"/>
                <w:lang w:val="en-US" w:eastAsia="zh-CN"/>
              </w:rPr>
              <w:t>38</w:t>
            </w:r>
          </w:p>
        </w:tc>
        <w:tc>
          <w:tcPr>
            <w:tcW w:w="51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r>
              <w:rPr>
                <w:rFonts w:hint="default" w:ascii="仿宋" w:hAnsi="仿宋" w:eastAsia="仿宋" w:cs="仿宋"/>
                <w:color w:val="auto"/>
                <w:sz w:val="32"/>
                <w:szCs w:val="32"/>
              </w:rPr>
              <w:t>1</w:t>
            </w:r>
            <w:r>
              <w:rPr>
                <w:rFonts w:hint="eastAsia" w:ascii="仿宋" w:hAnsi="仿宋" w:eastAsia="仿宋" w:cs="仿宋"/>
                <w:color w:val="auto"/>
                <w:sz w:val="32"/>
                <w:szCs w:val="32"/>
                <w:lang w:val="en-US" w:eastAsia="zh-CN"/>
              </w:rPr>
              <w:t>792.7</w:t>
            </w:r>
            <w:r>
              <w:rPr>
                <w:rFonts w:hint="default" w:ascii="仿宋" w:hAnsi="仿宋" w:eastAsia="仿宋" w:cs="仿宋"/>
                <w:color w:val="auto"/>
                <w:sz w:val="32"/>
                <w:szCs w:val="32"/>
              </w:rPr>
              <w:t>6</w:t>
            </w:r>
          </w:p>
        </w:tc>
      </w:tr>
      <w:tr>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Times New Roman"/>
                <w:kern w:val="0"/>
                <w:sz w:val="22"/>
                <w:szCs w:val="22"/>
              </w:rPr>
            </w:pPr>
            <w:r>
              <w:rPr>
                <w:rFonts w:hint="default" w:ascii="仿宋" w:hAnsi="仿宋" w:eastAsia="仿宋" w:cs="仿宋"/>
                <w:kern w:val="0"/>
                <w:sz w:val="32"/>
                <w:szCs w:val="32"/>
              </w:rPr>
              <w:t>4</w:t>
            </w:r>
            <w:r>
              <w:rPr>
                <w:rFonts w:hint="eastAsia" w:ascii="仿宋" w:hAnsi="仿宋" w:eastAsia="仿宋" w:cs="仿宋"/>
                <w:kern w:val="0"/>
                <w:sz w:val="32"/>
                <w:szCs w:val="32"/>
              </w:rPr>
              <w:t>、其他固定资产</w:t>
            </w:r>
          </w:p>
        </w:tc>
        <w:tc>
          <w:tcPr>
            <w:tcW w:w="315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rPr>
            </w:pPr>
          </w:p>
        </w:tc>
        <w:tc>
          <w:tcPr>
            <w:tcW w:w="51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color w:val="auto"/>
                <w:sz w:val="22"/>
                <w:szCs w:val="22"/>
                <w:lang w:val="en-US" w:eastAsia="zh-CN"/>
              </w:rPr>
            </w:pPr>
            <w:r>
              <w:rPr>
                <w:rFonts w:hint="eastAsia" w:ascii="仿宋" w:hAnsi="仿宋" w:eastAsia="仿宋" w:cs="仿宋"/>
                <w:color w:val="auto"/>
                <w:sz w:val="32"/>
                <w:szCs w:val="32"/>
                <w:lang w:val="en-US" w:eastAsia="zh-CN"/>
              </w:rPr>
              <w:t>1032.86</w:t>
            </w:r>
          </w:p>
        </w:tc>
      </w:tr>
    </w:tbl>
    <w:p>
      <w:pPr>
        <w:autoSpaceDE w:val="0"/>
        <w:autoSpaceDN w:val="0"/>
        <w:adjustRightInd w:val="0"/>
        <w:ind w:left="198" w:firstLine="640" w:firstLineChars="200"/>
        <w:jc w:val="left"/>
        <w:rPr>
          <w:rFonts w:ascii="仿宋_GB2312" w:hAnsi="黑体" w:eastAsia="仿宋_GB2312" w:cs="Times New Roman"/>
          <w:sz w:val="32"/>
          <w:szCs w:val="32"/>
        </w:rPr>
      </w:pPr>
    </w:p>
    <w:p>
      <w:pPr>
        <w:autoSpaceDE w:val="0"/>
        <w:autoSpaceDN w:val="0"/>
        <w:adjustRightInd w:val="0"/>
        <w:ind w:firstLine="640" w:firstLineChars="200"/>
        <w:jc w:val="left"/>
        <w:rPr>
          <w:rFonts w:hint="eastAsia" w:ascii="仿宋" w:hAnsi="仿宋" w:eastAsia="仿宋" w:cs="仿宋"/>
          <w:sz w:val="32"/>
          <w:szCs w:val="32"/>
        </w:rPr>
      </w:pPr>
    </w:p>
    <w:p>
      <w:pPr>
        <w:autoSpaceDE w:val="0"/>
        <w:autoSpaceDN w:val="0"/>
        <w:adjustRightInd w:val="0"/>
        <w:ind w:firstLine="640" w:firstLineChars="200"/>
        <w:jc w:val="left"/>
        <w:rPr>
          <w:rFonts w:hint="eastAsia" w:ascii="仿宋" w:hAnsi="仿宋" w:eastAsia="仿宋" w:cs="仿宋"/>
          <w:sz w:val="32"/>
          <w:szCs w:val="32"/>
        </w:rPr>
      </w:pPr>
    </w:p>
    <w:p>
      <w:pPr>
        <w:autoSpaceDE w:val="0"/>
        <w:autoSpaceDN w:val="0"/>
        <w:adjustRightInd w:val="0"/>
        <w:ind w:firstLine="640" w:firstLineChars="200"/>
        <w:jc w:val="left"/>
        <w:rPr>
          <w:rFonts w:hint="eastAsia" w:ascii="仿宋" w:hAnsi="仿宋" w:eastAsia="仿宋" w:cs="仿宋"/>
          <w:sz w:val="32"/>
          <w:szCs w:val="32"/>
        </w:rPr>
      </w:pPr>
    </w:p>
    <w:p>
      <w:pPr>
        <w:autoSpaceDE w:val="0"/>
        <w:autoSpaceDN w:val="0"/>
        <w:adjustRightInd w:val="0"/>
        <w:ind w:firstLine="640" w:firstLineChars="200"/>
        <w:jc w:val="left"/>
        <w:rPr>
          <w:rFonts w:hint="eastAsia" w:ascii="仿宋" w:hAnsi="仿宋" w:eastAsia="仿宋" w:cs="仿宋"/>
          <w:sz w:val="32"/>
          <w:szCs w:val="32"/>
        </w:rPr>
      </w:pPr>
    </w:p>
    <w:p>
      <w:pPr>
        <w:spacing w:line="600" w:lineRule="exact"/>
        <w:ind w:firstLine="640" w:firstLineChars="200"/>
        <w:rPr>
          <w:rFonts w:hint="eastAsia" w:ascii="黑体" w:hAnsi="黑体" w:eastAsia="黑体" w:cs="黑体"/>
          <w:sz w:val="32"/>
          <w:szCs w:val="32"/>
        </w:rPr>
        <w:sectPr>
          <w:footerReference r:id="rId4" w:type="default"/>
          <w:pgSz w:w="16838" w:h="11905" w:orient="landscape"/>
          <w:pgMar w:top="1417" w:right="1701" w:bottom="1417" w:left="1417" w:header="851" w:footer="992" w:gutter="0"/>
          <w:cols w:space="0" w:num="1"/>
          <w:rtlGutter w:val="0"/>
          <w:docGrid w:type="lines" w:linePitch="312" w:charSpace="0"/>
        </w:sectPr>
      </w:pP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八、名词解释</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1</w:t>
      </w:r>
      <w:r>
        <w:rPr>
          <w:rFonts w:hint="eastAsia" w:ascii="仿宋" w:hAnsi="仿宋" w:eastAsia="仿宋" w:cs="仿宋"/>
          <w:b/>
          <w:bCs/>
          <w:sz w:val="32"/>
          <w:szCs w:val="32"/>
        </w:rPr>
        <w:t>、一般公共预算拨款收入：</w:t>
      </w:r>
      <w:r>
        <w:rPr>
          <w:rFonts w:hint="eastAsia" w:ascii="仿宋" w:hAnsi="仿宋" w:eastAsia="仿宋" w:cs="仿宋"/>
          <w:sz w:val="32"/>
          <w:szCs w:val="32"/>
        </w:rPr>
        <w:t>指省级财政当年拨付的资金。</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2</w:t>
      </w:r>
      <w:r>
        <w:rPr>
          <w:rFonts w:hint="eastAsia" w:ascii="仿宋" w:hAnsi="仿宋" w:eastAsia="仿宋" w:cs="仿宋"/>
          <w:b/>
          <w:bCs/>
          <w:sz w:val="32"/>
          <w:szCs w:val="32"/>
        </w:rPr>
        <w:t>、事业收入：</w:t>
      </w:r>
      <w:r>
        <w:rPr>
          <w:rFonts w:hint="eastAsia" w:ascii="仿宋" w:hAnsi="仿宋" w:eastAsia="仿宋" w:cs="仿宋"/>
          <w:sz w:val="32"/>
          <w:szCs w:val="32"/>
        </w:rPr>
        <w:t>指事业单位开展专业业务活动及辅助活动所取得的收入。</w:t>
      </w:r>
    </w:p>
    <w:p>
      <w:pPr>
        <w:tabs>
          <w:tab w:val="left" w:pos="11490"/>
        </w:tabs>
        <w:ind w:firstLine="643" w:firstLineChars="200"/>
        <w:rPr>
          <w:rFonts w:ascii="仿宋" w:hAnsi="仿宋" w:eastAsia="仿宋" w:cs="Times New Roman"/>
          <w:b/>
          <w:bCs/>
          <w:sz w:val="32"/>
          <w:szCs w:val="32"/>
        </w:rPr>
      </w:pPr>
      <w:r>
        <w:rPr>
          <w:rFonts w:ascii="仿宋" w:hAnsi="仿宋" w:eastAsia="仿宋" w:cs="仿宋"/>
          <w:b/>
          <w:bCs/>
          <w:sz w:val="32"/>
          <w:szCs w:val="32"/>
        </w:rPr>
        <w:t>3</w:t>
      </w:r>
      <w:r>
        <w:rPr>
          <w:rFonts w:hint="eastAsia" w:ascii="仿宋" w:hAnsi="仿宋" w:eastAsia="仿宋" w:cs="仿宋"/>
          <w:b/>
          <w:bCs/>
          <w:sz w:val="32"/>
          <w:szCs w:val="32"/>
        </w:rPr>
        <w:t>、其他收入：</w:t>
      </w:r>
      <w:r>
        <w:rPr>
          <w:rFonts w:hint="eastAsia" w:ascii="仿宋" w:hAnsi="仿宋" w:eastAsia="仿宋" w:cs="仿宋"/>
          <w:sz w:val="32"/>
          <w:szCs w:val="32"/>
        </w:rPr>
        <w:t>指除“一般公共预算拨款收入”、“事业收入”等以外的收入。主要是按规定动用的租房收入、存款利息收入等。</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4</w:t>
      </w:r>
      <w:r>
        <w:rPr>
          <w:rFonts w:hint="eastAsia" w:ascii="仿宋" w:hAnsi="仿宋" w:eastAsia="仿宋" w:cs="仿宋"/>
          <w:b/>
          <w:bCs/>
          <w:sz w:val="32"/>
          <w:szCs w:val="32"/>
        </w:rPr>
        <w:t>、基本支出：</w:t>
      </w:r>
      <w:r>
        <w:rPr>
          <w:rFonts w:hint="eastAsia" w:ascii="仿宋" w:hAnsi="仿宋" w:eastAsia="仿宋" w:cs="仿宋"/>
          <w:sz w:val="32"/>
          <w:szCs w:val="32"/>
        </w:rPr>
        <w:t>指为保障机构正常运转、完成日常工作任务而发生的人员支出和公用支出。</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5</w:t>
      </w:r>
      <w:r>
        <w:rPr>
          <w:rFonts w:hint="eastAsia" w:ascii="仿宋" w:hAnsi="仿宋" w:eastAsia="仿宋" w:cs="仿宋"/>
          <w:b/>
          <w:bCs/>
          <w:sz w:val="32"/>
          <w:szCs w:val="32"/>
        </w:rPr>
        <w:t>、项目支出：</w:t>
      </w:r>
      <w:r>
        <w:rPr>
          <w:rFonts w:hint="eastAsia" w:ascii="仿宋" w:hAnsi="仿宋" w:eastAsia="仿宋" w:cs="仿宋"/>
          <w:sz w:val="32"/>
          <w:szCs w:val="32"/>
        </w:rPr>
        <w:t>指在基本支出之外为完成特定行政任务和事业发展目标所发生的支出。</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6</w:t>
      </w:r>
      <w:r>
        <w:rPr>
          <w:rFonts w:hint="eastAsia" w:ascii="仿宋" w:hAnsi="仿宋" w:eastAsia="仿宋" w:cs="仿宋"/>
          <w:b/>
          <w:bCs/>
          <w:sz w:val="32"/>
          <w:szCs w:val="32"/>
        </w:rPr>
        <w:t>、上缴上级支出：</w:t>
      </w:r>
      <w:r>
        <w:rPr>
          <w:rFonts w:hint="eastAsia" w:ascii="仿宋" w:hAnsi="仿宋" w:eastAsia="仿宋" w:cs="仿宋"/>
          <w:sz w:val="32"/>
          <w:szCs w:val="32"/>
        </w:rPr>
        <w:t>指下级单位上缴上级的支出。</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7</w:t>
      </w:r>
      <w:r>
        <w:rPr>
          <w:rFonts w:hint="eastAsia" w:ascii="仿宋" w:hAnsi="仿宋" w:eastAsia="仿宋" w:cs="仿宋"/>
          <w:b/>
          <w:bCs/>
          <w:sz w:val="32"/>
          <w:szCs w:val="32"/>
        </w:rPr>
        <w:t>、“三公”经费：</w:t>
      </w:r>
      <w:r>
        <w:rPr>
          <w:rFonts w:hint="eastAsia" w:ascii="仿宋" w:hAnsi="仿宋" w:eastAsia="仿宋" w:cs="仿宋"/>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8</w:t>
      </w:r>
      <w:r>
        <w:rPr>
          <w:rFonts w:hint="eastAsia" w:ascii="仿宋" w:hAnsi="仿宋" w:eastAsia="仿宋" w:cs="仿宋"/>
          <w:b/>
          <w:bCs/>
          <w:sz w:val="32"/>
          <w:szCs w:val="32"/>
        </w:rPr>
        <w:t>、机关运行费：</w:t>
      </w:r>
      <w:r>
        <w:rPr>
          <w:rFonts w:hint="eastAsia" w:ascii="仿宋" w:hAnsi="仿宋" w:eastAsia="仿宋" w:cs="仿宋"/>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9</w:t>
      </w:r>
      <w:r>
        <w:rPr>
          <w:rFonts w:hint="eastAsia" w:ascii="仿宋" w:hAnsi="仿宋" w:eastAsia="仿宋" w:cs="仿宋"/>
          <w:b/>
          <w:bCs/>
          <w:sz w:val="32"/>
          <w:szCs w:val="32"/>
        </w:rPr>
        <w:t>、上年结转：</w:t>
      </w:r>
      <w:r>
        <w:rPr>
          <w:rFonts w:hint="eastAsia" w:ascii="仿宋" w:hAnsi="仿宋" w:eastAsia="仿宋" w:cs="仿宋"/>
          <w:sz w:val="32"/>
          <w:szCs w:val="32"/>
        </w:rPr>
        <w:t>指以前年度尚未完成、结转到本年仍按原规定用途继续使用的资金。</w:t>
      </w:r>
    </w:p>
    <w:p>
      <w:pPr>
        <w:tabs>
          <w:tab w:val="left" w:pos="11490"/>
        </w:tabs>
        <w:ind w:firstLine="643" w:firstLineChars="200"/>
        <w:rPr>
          <w:rFonts w:ascii="仿宋" w:hAnsi="仿宋" w:eastAsia="仿宋" w:cs="Times New Roman"/>
          <w:sz w:val="32"/>
          <w:szCs w:val="32"/>
        </w:rPr>
      </w:pPr>
      <w:r>
        <w:rPr>
          <w:rFonts w:ascii="仿宋" w:hAnsi="仿宋" w:eastAsia="仿宋" w:cs="仿宋"/>
          <w:b/>
          <w:bCs/>
          <w:sz w:val="32"/>
          <w:szCs w:val="32"/>
        </w:rPr>
        <w:t>10</w:t>
      </w:r>
      <w:r>
        <w:rPr>
          <w:rFonts w:hint="eastAsia" w:ascii="仿宋" w:hAnsi="仿宋" w:eastAsia="仿宋" w:cs="仿宋"/>
          <w:b/>
          <w:bCs/>
          <w:sz w:val="32"/>
          <w:szCs w:val="32"/>
        </w:rPr>
        <w:t>、事业单位经营支出：</w:t>
      </w:r>
      <w:r>
        <w:rPr>
          <w:rFonts w:hint="eastAsia" w:ascii="仿宋" w:hAnsi="仿宋" w:eastAsia="仿宋" w:cs="仿宋"/>
          <w:sz w:val="32"/>
          <w:szCs w:val="32"/>
        </w:rPr>
        <w:t>指事业单位在专业业务活动及其辅助活动之外开展非独立核算经营活动发生的支出。</w:t>
      </w:r>
    </w:p>
    <w:p>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黑体"/>
          <w:sz w:val="32"/>
          <w:szCs w:val="32"/>
        </w:rPr>
        <w:t>九、其他需要说明的事项</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仿宋_GB2312"/>
          <w:sz w:val="32"/>
          <w:szCs w:val="32"/>
        </w:rPr>
        <w:t>我部门无其他需要说明的事项。</w:t>
      </w:r>
    </w:p>
    <w:p>
      <w:pPr>
        <w:ind w:firstLine="640" w:firstLineChars="200"/>
        <w:rPr>
          <w:rFonts w:ascii="仿宋_GB2312" w:hAnsi="Times New Roman" w:eastAsia="仿宋_GB2312" w:cs="Times New Roman"/>
          <w:sz w:val="32"/>
          <w:szCs w:val="32"/>
        </w:rPr>
      </w:pPr>
    </w:p>
    <w:p>
      <w:pPr>
        <w:ind w:firstLine="640" w:firstLineChars="200"/>
        <w:rPr>
          <w:rFonts w:ascii="仿宋_GB2312" w:hAnsi="Times New Roman" w:eastAsia="仿宋_GB2312" w:cs="Times New Roman"/>
          <w:sz w:val="32"/>
          <w:szCs w:val="32"/>
        </w:rPr>
      </w:pPr>
    </w:p>
    <w:p>
      <w:pPr>
        <w:ind w:firstLine="640" w:firstLineChars="200"/>
        <w:rPr>
          <w:rFonts w:ascii="仿宋_GB2312" w:hAnsi="Times New Roman" w:eastAsia="仿宋_GB2312" w:cs="Times New Roman"/>
          <w:sz w:val="32"/>
          <w:szCs w:val="32"/>
        </w:rPr>
      </w:pPr>
    </w:p>
    <w:sectPr>
      <w:pgSz w:w="11905" w:h="16838"/>
      <w:pgMar w:top="1701"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5</w:t>
    </w:r>
    <w:r>
      <w:rPr>
        <w:lang w:val="zh-CN"/>
      </w:rPr>
      <w:fldChar w:fldCharType="end"/>
    </w:r>
    <w:r>
      <w:t>-</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8</w:t>
    </w:r>
    <w:r>
      <w:rPr>
        <w:lang w:val="zh-CN"/>
      </w:rPr>
      <w:fldChar w:fldCharType="end"/>
    </w:r>
    <w:r>
      <w:t>-</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32"/>
    <w:rsid w:val="000053CC"/>
    <w:rsid w:val="000141EB"/>
    <w:rsid w:val="00036D52"/>
    <w:rsid w:val="00037AF6"/>
    <w:rsid w:val="0004565F"/>
    <w:rsid w:val="000465C5"/>
    <w:rsid w:val="00072187"/>
    <w:rsid w:val="00075D5F"/>
    <w:rsid w:val="0008180F"/>
    <w:rsid w:val="00086C6F"/>
    <w:rsid w:val="00093DA3"/>
    <w:rsid w:val="000B529B"/>
    <w:rsid w:val="000C24E6"/>
    <w:rsid w:val="000C3A19"/>
    <w:rsid w:val="000E054F"/>
    <w:rsid w:val="000F0BD4"/>
    <w:rsid w:val="000F0D09"/>
    <w:rsid w:val="000F3BD2"/>
    <w:rsid w:val="00104ADC"/>
    <w:rsid w:val="0011023B"/>
    <w:rsid w:val="0011053D"/>
    <w:rsid w:val="00122792"/>
    <w:rsid w:val="001245BB"/>
    <w:rsid w:val="00124C61"/>
    <w:rsid w:val="001251A3"/>
    <w:rsid w:val="0012714C"/>
    <w:rsid w:val="00137288"/>
    <w:rsid w:val="00141B7A"/>
    <w:rsid w:val="001643E8"/>
    <w:rsid w:val="0017113A"/>
    <w:rsid w:val="00176C13"/>
    <w:rsid w:val="00182F05"/>
    <w:rsid w:val="001919C4"/>
    <w:rsid w:val="00194F7A"/>
    <w:rsid w:val="0019723B"/>
    <w:rsid w:val="001A22B9"/>
    <w:rsid w:val="001B1B04"/>
    <w:rsid w:val="001C706A"/>
    <w:rsid w:val="001E0757"/>
    <w:rsid w:val="001E15FC"/>
    <w:rsid w:val="001E6C49"/>
    <w:rsid w:val="001E6DDC"/>
    <w:rsid w:val="001F7873"/>
    <w:rsid w:val="00204363"/>
    <w:rsid w:val="00221AC6"/>
    <w:rsid w:val="0022312F"/>
    <w:rsid w:val="00230E48"/>
    <w:rsid w:val="00234B1F"/>
    <w:rsid w:val="00241FD4"/>
    <w:rsid w:val="0024387B"/>
    <w:rsid w:val="00251B12"/>
    <w:rsid w:val="00263CAE"/>
    <w:rsid w:val="002645FB"/>
    <w:rsid w:val="00265318"/>
    <w:rsid w:val="00273C5C"/>
    <w:rsid w:val="002835D7"/>
    <w:rsid w:val="00290FD6"/>
    <w:rsid w:val="00296113"/>
    <w:rsid w:val="002A673A"/>
    <w:rsid w:val="002C2374"/>
    <w:rsid w:val="002C4B79"/>
    <w:rsid w:val="002C5E13"/>
    <w:rsid w:val="002C62BC"/>
    <w:rsid w:val="002E0EB8"/>
    <w:rsid w:val="002F3E58"/>
    <w:rsid w:val="0030542C"/>
    <w:rsid w:val="00311B7A"/>
    <w:rsid w:val="003126B6"/>
    <w:rsid w:val="00313D9C"/>
    <w:rsid w:val="00320F99"/>
    <w:rsid w:val="0033339C"/>
    <w:rsid w:val="00337C41"/>
    <w:rsid w:val="00345DC7"/>
    <w:rsid w:val="00356254"/>
    <w:rsid w:val="00360ADA"/>
    <w:rsid w:val="003660A8"/>
    <w:rsid w:val="00394E77"/>
    <w:rsid w:val="003965C5"/>
    <w:rsid w:val="003A00AB"/>
    <w:rsid w:val="003C6FE6"/>
    <w:rsid w:val="00424943"/>
    <w:rsid w:val="00425AFD"/>
    <w:rsid w:val="0042727E"/>
    <w:rsid w:val="004273EF"/>
    <w:rsid w:val="0043175C"/>
    <w:rsid w:val="00436371"/>
    <w:rsid w:val="00436811"/>
    <w:rsid w:val="00437296"/>
    <w:rsid w:val="0043765D"/>
    <w:rsid w:val="00443507"/>
    <w:rsid w:val="00447190"/>
    <w:rsid w:val="00451590"/>
    <w:rsid w:val="00451871"/>
    <w:rsid w:val="00452FC1"/>
    <w:rsid w:val="00462402"/>
    <w:rsid w:val="00465D5D"/>
    <w:rsid w:val="004706DE"/>
    <w:rsid w:val="00472923"/>
    <w:rsid w:val="004839E4"/>
    <w:rsid w:val="00486DCD"/>
    <w:rsid w:val="00494591"/>
    <w:rsid w:val="004A7A1E"/>
    <w:rsid w:val="004B0C3A"/>
    <w:rsid w:val="004C49A8"/>
    <w:rsid w:val="004D5788"/>
    <w:rsid w:val="004E3066"/>
    <w:rsid w:val="004E419C"/>
    <w:rsid w:val="004E74CD"/>
    <w:rsid w:val="005017BF"/>
    <w:rsid w:val="00524EFD"/>
    <w:rsid w:val="00532F9F"/>
    <w:rsid w:val="00546BB1"/>
    <w:rsid w:val="00547ED0"/>
    <w:rsid w:val="00572067"/>
    <w:rsid w:val="00573562"/>
    <w:rsid w:val="00583B7E"/>
    <w:rsid w:val="0058695A"/>
    <w:rsid w:val="00590ECE"/>
    <w:rsid w:val="00594440"/>
    <w:rsid w:val="00594983"/>
    <w:rsid w:val="005C3307"/>
    <w:rsid w:val="005F5714"/>
    <w:rsid w:val="005F68EE"/>
    <w:rsid w:val="005F7AE1"/>
    <w:rsid w:val="00611D03"/>
    <w:rsid w:val="00614A29"/>
    <w:rsid w:val="006222BF"/>
    <w:rsid w:val="00630DC1"/>
    <w:rsid w:val="006447E2"/>
    <w:rsid w:val="0065009E"/>
    <w:rsid w:val="00673D76"/>
    <w:rsid w:val="006773F1"/>
    <w:rsid w:val="006854F0"/>
    <w:rsid w:val="006A10A8"/>
    <w:rsid w:val="006B1C4A"/>
    <w:rsid w:val="006B610D"/>
    <w:rsid w:val="006C6C9A"/>
    <w:rsid w:val="006D13A8"/>
    <w:rsid w:val="006D6C25"/>
    <w:rsid w:val="006E2DA5"/>
    <w:rsid w:val="006E49F5"/>
    <w:rsid w:val="006E4BF9"/>
    <w:rsid w:val="007013C8"/>
    <w:rsid w:val="00720237"/>
    <w:rsid w:val="0072095A"/>
    <w:rsid w:val="007275F4"/>
    <w:rsid w:val="00733B07"/>
    <w:rsid w:val="00740063"/>
    <w:rsid w:val="0074291C"/>
    <w:rsid w:val="007457E4"/>
    <w:rsid w:val="007479C1"/>
    <w:rsid w:val="00753836"/>
    <w:rsid w:val="0075393C"/>
    <w:rsid w:val="00754592"/>
    <w:rsid w:val="00757D4E"/>
    <w:rsid w:val="00761BCE"/>
    <w:rsid w:val="00776C08"/>
    <w:rsid w:val="00780619"/>
    <w:rsid w:val="007C219A"/>
    <w:rsid w:val="007C443D"/>
    <w:rsid w:val="007D2E03"/>
    <w:rsid w:val="007D488D"/>
    <w:rsid w:val="007E1DA8"/>
    <w:rsid w:val="007F27DA"/>
    <w:rsid w:val="007F38F7"/>
    <w:rsid w:val="007F6C26"/>
    <w:rsid w:val="00805ACF"/>
    <w:rsid w:val="00813208"/>
    <w:rsid w:val="0083348E"/>
    <w:rsid w:val="008334AE"/>
    <w:rsid w:val="00836FED"/>
    <w:rsid w:val="0083724E"/>
    <w:rsid w:val="00841D53"/>
    <w:rsid w:val="00845CD2"/>
    <w:rsid w:val="00852B0D"/>
    <w:rsid w:val="00853177"/>
    <w:rsid w:val="00856F58"/>
    <w:rsid w:val="00863E7B"/>
    <w:rsid w:val="00864B7F"/>
    <w:rsid w:val="00881692"/>
    <w:rsid w:val="008A6576"/>
    <w:rsid w:val="008B3CC5"/>
    <w:rsid w:val="008B4EC7"/>
    <w:rsid w:val="008B52CD"/>
    <w:rsid w:val="008C7C4D"/>
    <w:rsid w:val="008E2866"/>
    <w:rsid w:val="008E2B60"/>
    <w:rsid w:val="008E4261"/>
    <w:rsid w:val="008E70D4"/>
    <w:rsid w:val="008F4662"/>
    <w:rsid w:val="008F61EE"/>
    <w:rsid w:val="008F6E07"/>
    <w:rsid w:val="009051E7"/>
    <w:rsid w:val="00905D08"/>
    <w:rsid w:val="00925753"/>
    <w:rsid w:val="00937F8B"/>
    <w:rsid w:val="009425F4"/>
    <w:rsid w:val="00943BD8"/>
    <w:rsid w:val="009517AD"/>
    <w:rsid w:val="00952E5C"/>
    <w:rsid w:val="00954B2C"/>
    <w:rsid w:val="009667D6"/>
    <w:rsid w:val="00966C5C"/>
    <w:rsid w:val="00970735"/>
    <w:rsid w:val="00973104"/>
    <w:rsid w:val="00982CDF"/>
    <w:rsid w:val="0099436F"/>
    <w:rsid w:val="00995BF0"/>
    <w:rsid w:val="009A16D5"/>
    <w:rsid w:val="009A2E49"/>
    <w:rsid w:val="009A353D"/>
    <w:rsid w:val="009B0B77"/>
    <w:rsid w:val="009B511E"/>
    <w:rsid w:val="009C6C86"/>
    <w:rsid w:val="009D37D3"/>
    <w:rsid w:val="00A16E6C"/>
    <w:rsid w:val="00A245AF"/>
    <w:rsid w:val="00A40F60"/>
    <w:rsid w:val="00A44E3D"/>
    <w:rsid w:val="00A72582"/>
    <w:rsid w:val="00A72D2E"/>
    <w:rsid w:val="00A74447"/>
    <w:rsid w:val="00A74CE5"/>
    <w:rsid w:val="00A77500"/>
    <w:rsid w:val="00A86E02"/>
    <w:rsid w:val="00A911E7"/>
    <w:rsid w:val="00A939D9"/>
    <w:rsid w:val="00A94E6B"/>
    <w:rsid w:val="00AA78D4"/>
    <w:rsid w:val="00AA7EA2"/>
    <w:rsid w:val="00AC1AB4"/>
    <w:rsid w:val="00AC4748"/>
    <w:rsid w:val="00AD5259"/>
    <w:rsid w:val="00AF3228"/>
    <w:rsid w:val="00AF353D"/>
    <w:rsid w:val="00B01D36"/>
    <w:rsid w:val="00B078CD"/>
    <w:rsid w:val="00B172ED"/>
    <w:rsid w:val="00B20712"/>
    <w:rsid w:val="00B31F1A"/>
    <w:rsid w:val="00B41289"/>
    <w:rsid w:val="00B43238"/>
    <w:rsid w:val="00B45DD3"/>
    <w:rsid w:val="00B53789"/>
    <w:rsid w:val="00B7096B"/>
    <w:rsid w:val="00B73582"/>
    <w:rsid w:val="00B75216"/>
    <w:rsid w:val="00B755A2"/>
    <w:rsid w:val="00B820FA"/>
    <w:rsid w:val="00B8356D"/>
    <w:rsid w:val="00B9104C"/>
    <w:rsid w:val="00B91D52"/>
    <w:rsid w:val="00B9490F"/>
    <w:rsid w:val="00B953A7"/>
    <w:rsid w:val="00B95650"/>
    <w:rsid w:val="00B95A19"/>
    <w:rsid w:val="00BA1ACD"/>
    <w:rsid w:val="00BC0602"/>
    <w:rsid w:val="00BC1AFD"/>
    <w:rsid w:val="00BD09F8"/>
    <w:rsid w:val="00BF1CFC"/>
    <w:rsid w:val="00BF22A6"/>
    <w:rsid w:val="00C005B2"/>
    <w:rsid w:val="00C2052F"/>
    <w:rsid w:val="00C21E0F"/>
    <w:rsid w:val="00C2643E"/>
    <w:rsid w:val="00C26A37"/>
    <w:rsid w:val="00C26D18"/>
    <w:rsid w:val="00C40B1A"/>
    <w:rsid w:val="00C539E0"/>
    <w:rsid w:val="00C657BD"/>
    <w:rsid w:val="00C6584D"/>
    <w:rsid w:val="00C815E6"/>
    <w:rsid w:val="00C94C64"/>
    <w:rsid w:val="00CA0A1C"/>
    <w:rsid w:val="00CA7176"/>
    <w:rsid w:val="00CB1B48"/>
    <w:rsid w:val="00CC00C3"/>
    <w:rsid w:val="00CC75B0"/>
    <w:rsid w:val="00CD25B3"/>
    <w:rsid w:val="00CD2773"/>
    <w:rsid w:val="00CD6E83"/>
    <w:rsid w:val="00CD764A"/>
    <w:rsid w:val="00CE01BA"/>
    <w:rsid w:val="00CE13C9"/>
    <w:rsid w:val="00CE143B"/>
    <w:rsid w:val="00CF6E65"/>
    <w:rsid w:val="00D01D2A"/>
    <w:rsid w:val="00D07DBA"/>
    <w:rsid w:val="00D27003"/>
    <w:rsid w:val="00D31E4A"/>
    <w:rsid w:val="00D324AD"/>
    <w:rsid w:val="00D40962"/>
    <w:rsid w:val="00D436B1"/>
    <w:rsid w:val="00D468D6"/>
    <w:rsid w:val="00D549F3"/>
    <w:rsid w:val="00D63175"/>
    <w:rsid w:val="00D722D9"/>
    <w:rsid w:val="00D82C37"/>
    <w:rsid w:val="00D9307A"/>
    <w:rsid w:val="00D95037"/>
    <w:rsid w:val="00DF39B4"/>
    <w:rsid w:val="00E167C7"/>
    <w:rsid w:val="00E55B78"/>
    <w:rsid w:val="00E61F20"/>
    <w:rsid w:val="00E63E71"/>
    <w:rsid w:val="00E706D2"/>
    <w:rsid w:val="00E76361"/>
    <w:rsid w:val="00E777F5"/>
    <w:rsid w:val="00E84F0B"/>
    <w:rsid w:val="00E94D11"/>
    <w:rsid w:val="00E979BE"/>
    <w:rsid w:val="00EA07B3"/>
    <w:rsid w:val="00EA10FA"/>
    <w:rsid w:val="00EA41B8"/>
    <w:rsid w:val="00EC47F6"/>
    <w:rsid w:val="00EF08C9"/>
    <w:rsid w:val="00EF535E"/>
    <w:rsid w:val="00EF7E9E"/>
    <w:rsid w:val="00F00E74"/>
    <w:rsid w:val="00F46F8C"/>
    <w:rsid w:val="00F471F7"/>
    <w:rsid w:val="00F63EAF"/>
    <w:rsid w:val="00F66032"/>
    <w:rsid w:val="00F72E8A"/>
    <w:rsid w:val="00F83B96"/>
    <w:rsid w:val="00F8441D"/>
    <w:rsid w:val="00F87C1E"/>
    <w:rsid w:val="00F958C2"/>
    <w:rsid w:val="00FA740E"/>
    <w:rsid w:val="00FB69C9"/>
    <w:rsid w:val="00FC06C7"/>
    <w:rsid w:val="00FD2CD0"/>
    <w:rsid w:val="00FD5DB4"/>
    <w:rsid w:val="00FE1724"/>
    <w:rsid w:val="00FE1AA4"/>
    <w:rsid w:val="00FE6802"/>
    <w:rsid w:val="00FF1E0E"/>
    <w:rsid w:val="0214406F"/>
    <w:rsid w:val="1463280A"/>
    <w:rsid w:val="15F92807"/>
    <w:rsid w:val="294A5416"/>
    <w:rsid w:val="2FAC2624"/>
    <w:rsid w:val="324B60F2"/>
    <w:rsid w:val="334D26ED"/>
    <w:rsid w:val="3993278F"/>
    <w:rsid w:val="3D1A2238"/>
    <w:rsid w:val="44F24DE0"/>
    <w:rsid w:val="4A73260A"/>
    <w:rsid w:val="556D248E"/>
    <w:rsid w:val="634E1345"/>
    <w:rsid w:val="65B37DD2"/>
    <w:rsid w:val="68FE6A93"/>
    <w:rsid w:val="6B1474AE"/>
    <w:rsid w:val="6CF35974"/>
    <w:rsid w:val="6E762EDC"/>
    <w:rsid w:val="74202864"/>
    <w:rsid w:val="762C5944"/>
    <w:rsid w:val="772E360C"/>
    <w:rsid w:val="7B51165F"/>
    <w:rsid w:val="7BD020A8"/>
    <w:rsid w:val="7C062C7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semiHidden/>
    <w:qFormat/>
    <w:uiPriority w:val="99"/>
    <w:rPr>
      <w:rFonts w:ascii="Times New Roman" w:hAnsi="Times New Roman" w:cs="Times New Roman"/>
    </w:rPr>
  </w:style>
  <w:style w:type="paragraph" w:styleId="6">
    <w:name w:val="footnote text"/>
    <w:basedOn w:val="1"/>
    <w:link w:val="14"/>
    <w:semiHidden/>
    <w:qFormat/>
    <w:uiPriority w:val="99"/>
    <w:pPr>
      <w:snapToGrid w:val="0"/>
      <w:jc w:val="left"/>
    </w:pPr>
    <w:rPr>
      <w:sz w:val="18"/>
      <w:szCs w:val="18"/>
    </w:rPr>
  </w:style>
  <w:style w:type="paragraph" w:styleId="7">
    <w:name w:val="toc 2"/>
    <w:basedOn w:val="1"/>
    <w:next w:val="1"/>
    <w:semiHidden/>
    <w:qFormat/>
    <w:uiPriority w:val="99"/>
    <w:pPr>
      <w:ind w:left="420" w:leftChars="200"/>
    </w:pPr>
    <w:rPr>
      <w:rFonts w:ascii="Times New Roman" w:hAnsi="Times New Roman" w:cs="Times New Roman"/>
    </w:rPr>
  </w:style>
  <w:style w:type="character" w:styleId="10">
    <w:name w:val="footnote reference"/>
    <w:basedOn w:val="9"/>
    <w:semiHidden/>
    <w:qFormat/>
    <w:uiPriority w:val="99"/>
    <w:rPr>
      <w:vertAlign w:val="superscript"/>
    </w:rPr>
  </w:style>
  <w:style w:type="character" w:customStyle="1" w:styleId="11">
    <w:name w:val="Balloon Text Char"/>
    <w:basedOn w:val="9"/>
    <w:link w:val="2"/>
    <w:semiHidden/>
    <w:qFormat/>
    <w:locked/>
    <w:uiPriority w:val="99"/>
    <w:rPr>
      <w:sz w:val="18"/>
      <w:szCs w:val="18"/>
    </w:rPr>
  </w:style>
  <w:style w:type="character" w:customStyle="1" w:styleId="12">
    <w:name w:val="Footer Char"/>
    <w:basedOn w:val="9"/>
    <w:link w:val="3"/>
    <w:qFormat/>
    <w:locked/>
    <w:uiPriority w:val="99"/>
    <w:rPr>
      <w:rFonts w:ascii="Times New Roman" w:hAnsi="Times New Roman" w:eastAsia="宋体" w:cs="Times New Roman"/>
      <w:sz w:val="18"/>
      <w:szCs w:val="18"/>
    </w:rPr>
  </w:style>
  <w:style w:type="character" w:customStyle="1" w:styleId="13">
    <w:name w:val="Header Char"/>
    <w:basedOn w:val="9"/>
    <w:link w:val="4"/>
    <w:qFormat/>
    <w:locked/>
    <w:uiPriority w:val="99"/>
    <w:rPr>
      <w:rFonts w:ascii="Times New Roman" w:hAnsi="Times New Roman" w:eastAsia="宋体" w:cs="Times New Roman"/>
      <w:sz w:val="18"/>
      <w:szCs w:val="18"/>
    </w:rPr>
  </w:style>
  <w:style w:type="character" w:customStyle="1" w:styleId="14">
    <w:name w:val="Footnote Text Char"/>
    <w:basedOn w:val="9"/>
    <w:link w:val="6"/>
    <w:semiHidden/>
    <w:qFormat/>
    <w:locked/>
    <w:uiPriority w:val="99"/>
    <w:rPr>
      <w:rFonts w:ascii="Calibri" w:hAnsi="Calibri" w:eastAsia="宋体" w:cs="Calibri"/>
      <w:sz w:val="18"/>
      <w:szCs w:val="18"/>
    </w:rPr>
  </w:style>
  <w:style w:type="paragraph" w:customStyle="1" w:styleId="15">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8</Pages>
  <Words>407</Words>
  <Characters>2321</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2018-03-09T06:21:00Z</dcterms:created>
  <dc:creator>guest</dc:creator>
  <cp:lastModifiedBy>a</cp:lastModifiedBy>
  <cp:lastPrinted>2018-03-07T07:32:00Z</cp:lastPrinted>
  <dcterms:modified xsi:type="dcterms:W3CDTF">2020-02-10T08:02:24Z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