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7D" w:rsidRDefault="00D17BAE">
      <w:pPr>
        <w:spacing w:line="584" w:lineRule="exact"/>
        <w:ind w:firstLineChars="200" w:firstLine="880"/>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廊坊市</w:t>
      </w:r>
      <w:r w:rsidR="000F1429">
        <w:rPr>
          <w:rFonts w:ascii="方正小标宋_GBK" w:eastAsia="方正小标宋_GBK" w:hAnsi="Times New Roman" w:cs="Times New Roman" w:hint="eastAsia"/>
          <w:sz w:val="44"/>
          <w:szCs w:val="44"/>
        </w:rPr>
        <w:t>产品质量监督检验所</w:t>
      </w:r>
      <w:r>
        <w:rPr>
          <w:rFonts w:ascii="方正小标宋_GBK" w:eastAsia="方正小标宋_GBK" w:hAnsi="Times New Roman" w:cs="Times New Roman" w:hint="eastAsia"/>
          <w:sz w:val="44"/>
          <w:szCs w:val="44"/>
        </w:rPr>
        <w:t>2020年部门预算信息公开情况说明</w:t>
      </w:r>
    </w:p>
    <w:p w:rsidR="00C5247D" w:rsidRDefault="00C5247D">
      <w:pPr>
        <w:spacing w:line="584" w:lineRule="exact"/>
        <w:ind w:firstLineChars="200" w:firstLine="880"/>
        <w:jc w:val="center"/>
        <w:rPr>
          <w:rFonts w:ascii="Times New Roman" w:eastAsia="仿宋_GB2312" w:hAnsi="Times New Roman" w:cs="Times New Roman"/>
          <w:sz w:val="44"/>
          <w:szCs w:val="44"/>
        </w:rPr>
      </w:pPr>
    </w:p>
    <w:p w:rsidR="00C5247D" w:rsidRDefault="00D17BAE">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按照《预算法》、《地方预决算公开操作规程》和《河北省省级预算公开办法》规定，现将廊坊市</w:t>
      </w:r>
      <w:r>
        <w:rPr>
          <w:rFonts w:ascii="Times New Roman" w:eastAsia="方正仿宋_GBK" w:hAnsi="Times New Roman" w:cs="Times New Roman" w:hint="eastAsia"/>
          <w:sz w:val="32"/>
          <w:szCs w:val="32"/>
        </w:rPr>
        <w:t>产品质量监督检验所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sidR="00CD5DE3">
        <w:rPr>
          <w:rFonts w:ascii="Times New Roman" w:eastAsia="仿宋_GB2312" w:hAnsi="Times New Roman" w:cs="Times New Roman"/>
          <w:sz w:val="32"/>
          <w:szCs w:val="32"/>
        </w:rPr>
        <w:t>年部门预算公开如下</w:t>
      </w:r>
      <w:r w:rsidR="00CD5DE3">
        <w:rPr>
          <w:rFonts w:ascii="Times New Roman" w:eastAsia="仿宋_GB2312" w:hAnsi="Times New Roman" w:cs="Times New Roman" w:hint="eastAsia"/>
          <w:sz w:val="32"/>
          <w:szCs w:val="32"/>
        </w:rPr>
        <w:t>:</w:t>
      </w:r>
    </w:p>
    <w:p w:rsidR="00C5247D" w:rsidRDefault="00D17BAE">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C5247D" w:rsidRDefault="00D17BAE">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C5247D" w:rsidRDefault="00D17BAE" w:rsidP="00A34E0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承担本行政区域内产品质量监督检验、强制性检验、定期监督检验、监督性抽查检验工作；承担产品标准、检验细则、检验方法的制定、修订技术工作；开展检验技术、检验方法的研究；开展质量仲裁鉴定检验</w:t>
      </w:r>
      <w:r w:rsidR="006B2D0C">
        <w:rPr>
          <w:rFonts w:ascii="Times New Roman" w:eastAsia="仿宋_GB2312" w:hAnsi="Times New Roman" w:cs="Times New Roman" w:hint="eastAsia"/>
          <w:sz w:val="32"/>
          <w:szCs w:val="32"/>
        </w:rPr>
        <w:t>、产品质量委托检验等工作；开展产品质量检验检测技术咨询服务工作。</w:t>
      </w:r>
    </w:p>
    <w:p w:rsidR="00C5247D" w:rsidRDefault="00D17BAE">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C5247D" w:rsidRDefault="00D17BAE">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100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3241"/>
      </w:tblGrid>
      <w:tr w:rsidR="00C5247D">
        <w:trPr>
          <w:trHeight w:val="588"/>
          <w:tblHeader/>
          <w:jc w:val="center"/>
        </w:trPr>
        <w:tc>
          <w:tcPr>
            <w:tcW w:w="4443" w:type="dxa"/>
            <w:vMerge w:val="restart"/>
            <w:shd w:val="clear" w:color="auto" w:fill="auto"/>
            <w:vAlign w:val="center"/>
          </w:tcPr>
          <w:p w:rsidR="00C5247D" w:rsidRDefault="00D17BA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C5247D" w:rsidRDefault="00D17BA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C5247D" w:rsidRDefault="00D17BA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3241" w:type="dxa"/>
            <w:vMerge w:val="restart"/>
            <w:shd w:val="clear" w:color="auto" w:fill="auto"/>
            <w:vAlign w:val="center"/>
          </w:tcPr>
          <w:p w:rsidR="00C5247D" w:rsidRDefault="00D17BAE">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C5247D">
        <w:trPr>
          <w:trHeight w:val="588"/>
          <w:tblHeader/>
          <w:jc w:val="center"/>
        </w:trPr>
        <w:tc>
          <w:tcPr>
            <w:tcW w:w="4443" w:type="dxa"/>
            <w:vMerge/>
            <w:shd w:val="clear" w:color="auto" w:fill="auto"/>
            <w:vAlign w:val="center"/>
          </w:tcPr>
          <w:p w:rsidR="00C5247D" w:rsidRDefault="00C5247D">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C5247D" w:rsidRDefault="00C5247D">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C5247D" w:rsidRDefault="00C5247D">
            <w:pPr>
              <w:spacing w:line="584" w:lineRule="exact"/>
              <w:jc w:val="left"/>
              <w:outlineLvl w:val="0"/>
              <w:rPr>
                <w:rFonts w:ascii="Times New Roman" w:eastAsia="仿宋_GB2312" w:hAnsi="Times New Roman" w:cs="Times New Roman"/>
                <w:szCs w:val="24"/>
              </w:rPr>
            </w:pPr>
          </w:p>
        </w:tc>
        <w:tc>
          <w:tcPr>
            <w:tcW w:w="3241" w:type="dxa"/>
            <w:vMerge/>
            <w:shd w:val="clear" w:color="auto" w:fill="auto"/>
            <w:vAlign w:val="center"/>
          </w:tcPr>
          <w:p w:rsidR="00C5247D" w:rsidRDefault="00C5247D">
            <w:pPr>
              <w:spacing w:line="584" w:lineRule="exact"/>
              <w:jc w:val="left"/>
              <w:outlineLvl w:val="0"/>
              <w:rPr>
                <w:rFonts w:ascii="Times New Roman" w:eastAsia="仿宋_GB2312" w:hAnsi="Times New Roman" w:cs="Times New Roman"/>
                <w:szCs w:val="24"/>
              </w:rPr>
            </w:pPr>
          </w:p>
        </w:tc>
      </w:tr>
      <w:tr w:rsidR="00C5247D">
        <w:trPr>
          <w:trHeight w:val="227"/>
          <w:jc w:val="center"/>
        </w:trPr>
        <w:tc>
          <w:tcPr>
            <w:tcW w:w="4443" w:type="dxa"/>
            <w:shd w:val="clear" w:color="auto" w:fill="auto"/>
            <w:vAlign w:val="center"/>
          </w:tcPr>
          <w:p w:rsidR="00C5247D" w:rsidRDefault="00D17BAE">
            <w:pPr>
              <w:spacing w:line="584"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廊坊市产品质量监督检验所</w:t>
            </w:r>
          </w:p>
        </w:tc>
        <w:tc>
          <w:tcPr>
            <w:tcW w:w="1134" w:type="dxa"/>
            <w:shd w:val="clear" w:color="auto" w:fill="auto"/>
            <w:vAlign w:val="center"/>
          </w:tcPr>
          <w:p w:rsidR="00C5247D" w:rsidRDefault="00D17BAE">
            <w:pPr>
              <w:spacing w:line="584"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事业</w:t>
            </w:r>
          </w:p>
        </w:tc>
        <w:tc>
          <w:tcPr>
            <w:tcW w:w="1276" w:type="dxa"/>
            <w:shd w:val="clear" w:color="auto" w:fill="auto"/>
            <w:vAlign w:val="center"/>
          </w:tcPr>
          <w:p w:rsidR="00C5247D" w:rsidRDefault="00D17BAE">
            <w:pPr>
              <w:spacing w:line="584" w:lineRule="exact"/>
              <w:jc w:val="center"/>
              <w:rPr>
                <w:rFonts w:ascii="Times New Roman" w:eastAsia="仿宋_GB2312" w:hAnsi="Times New Roman" w:cs="Times New Roman"/>
                <w:szCs w:val="21"/>
              </w:rPr>
            </w:pPr>
            <w:r>
              <w:rPr>
                <w:rFonts w:ascii="Times New Roman" w:eastAsia="仿宋_GB2312" w:hAnsi="Times New Roman" w:cs="Times New Roman"/>
                <w:szCs w:val="21"/>
              </w:rPr>
              <w:t>正科级</w:t>
            </w:r>
          </w:p>
        </w:tc>
        <w:tc>
          <w:tcPr>
            <w:tcW w:w="3241" w:type="dxa"/>
            <w:shd w:val="clear" w:color="auto" w:fill="auto"/>
            <w:vAlign w:val="center"/>
          </w:tcPr>
          <w:p w:rsidR="00C5247D" w:rsidRDefault="00D17BAE">
            <w:pPr>
              <w:spacing w:line="584" w:lineRule="exact"/>
              <w:jc w:val="center"/>
              <w:rPr>
                <w:rFonts w:ascii="Times New Roman" w:eastAsia="仿宋_GB2312" w:hAnsi="Times New Roman" w:cs="Times New Roman"/>
                <w:szCs w:val="21"/>
              </w:rPr>
            </w:pPr>
            <w:r>
              <w:rPr>
                <w:rFonts w:ascii="Times New Roman" w:eastAsia="仿宋_GB2312" w:hAnsi="Times New Roman" w:cs="Times New Roman"/>
                <w:szCs w:val="21"/>
              </w:rPr>
              <w:t>财政性资金基本保证</w:t>
            </w:r>
          </w:p>
        </w:tc>
      </w:tr>
    </w:tbl>
    <w:p w:rsidR="00C5247D" w:rsidRDefault="00D17BAE">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C5247D" w:rsidRDefault="00D17BAE">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按照预算管理有关规定，目前我市部门预算的编制实行综合预算制度，即全部收入和支出都反映在预算中。廊坊市</w:t>
      </w:r>
      <w:r w:rsidR="00A34E01">
        <w:rPr>
          <w:rFonts w:ascii="Times New Roman" w:eastAsia="仿宋_GB2312" w:hAnsi="Times New Roman" w:cs="Times New Roman" w:hint="eastAsia"/>
          <w:sz w:val="32"/>
          <w:szCs w:val="32"/>
        </w:rPr>
        <w:t>产品质量监督检验所</w:t>
      </w:r>
      <w:r>
        <w:rPr>
          <w:rFonts w:ascii="Times New Roman" w:eastAsia="仿宋_GB2312" w:hAnsi="Times New Roman" w:cs="Times New Roman"/>
          <w:sz w:val="32"/>
          <w:szCs w:val="32"/>
        </w:rPr>
        <w:t>的收支包含在部门预算中。</w:t>
      </w:r>
    </w:p>
    <w:p w:rsidR="00C5247D" w:rsidRDefault="00D17BAE">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、收入说明</w:t>
      </w:r>
    </w:p>
    <w:p w:rsidR="00C5247D" w:rsidRDefault="00D17BA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年预算收入</w:t>
      </w:r>
      <w:r w:rsidR="00896A3E">
        <w:rPr>
          <w:rFonts w:ascii="Times New Roman" w:eastAsia="仿宋_GB2312" w:hAnsi="Times New Roman" w:cs="Times New Roman" w:hint="eastAsia"/>
          <w:sz w:val="32"/>
          <w:szCs w:val="32"/>
        </w:rPr>
        <w:t>1678.42</w:t>
      </w:r>
      <w:r>
        <w:rPr>
          <w:rFonts w:ascii="Times New Roman" w:eastAsia="仿宋_GB2312" w:hAnsi="Times New Roman" w:cs="Times New Roman"/>
          <w:sz w:val="32"/>
          <w:szCs w:val="32"/>
        </w:rPr>
        <w:t>万元，其中：一般公共预算收入</w:t>
      </w:r>
      <w:r w:rsidR="00896A3E">
        <w:rPr>
          <w:rFonts w:ascii="Times New Roman" w:eastAsia="仿宋_GB2312" w:hAnsi="Times New Roman" w:cs="Times New Roman" w:hint="eastAsia"/>
          <w:sz w:val="32"/>
          <w:szCs w:val="32"/>
        </w:rPr>
        <w:t>1678.42</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C5247D" w:rsidRDefault="00D17BAE">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2</w:t>
      </w:r>
      <w:r>
        <w:rPr>
          <w:rFonts w:ascii="Times New Roman" w:eastAsia="楷体_GB2312" w:hAnsi="Times New Roman" w:cs="Times New Roman"/>
          <w:b/>
          <w:sz w:val="32"/>
          <w:szCs w:val="32"/>
        </w:rPr>
        <w:t>、支出说明</w:t>
      </w:r>
    </w:p>
    <w:p w:rsidR="00C5247D" w:rsidRDefault="00D17BA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sidR="00896A3E">
        <w:rPr>
          <w:rFonts w:ascii="Times New Roman" w:eastAsia="仿宋_GB2312" w:hAnsi="Times New Roman" w:cs="Times New Roman" w:hint="eastAsia"/>
          <w:sz w:val="32"/>
          <w:szCs w:val="32"/>
        </w:rPr>
        <w:t>产品质量监督检验所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年支出预算</w:t>
      </w:r>
      <w:r w:rsidR="00896A3E">
        <w:rPr>
          <w:rFonts w:ascii="Times New Roman" w:eastAsia="仿宋_GB2312" w:hAnsi="Times New Roman" w:cs="Times New Roman" w:hint="eastAsia"/>
          <w:sz w:val="32"/>
          <w:szCs w:val="32"/>
        </w:rPr>
        <w:t>1678.42</w:t>
      </w:r>
      <w:r>
        <w:rPr>
          <w:rFonts w:ascii="Times New Roman" w:eastAsia="仿宋_GB2312" w:hAnsi="Times New Roman" w:cs="Times New Roman"/>
          <w:sz w:val="32"/>
          <w:szCs w:val="32"/>
        </w:rPr>
        <w:t>万元，其中基本支出</w:t>
      </w:r>
      <w:r w:rsidR="00896A3E">
        <w:rPr>
          <w:rFonts w:ascii="Times New Roman" w:eastAsia="仿宋_GB2312" w:hAnsi="Times New Roman" w:cs="Times New Roman" w:hint="eastAsia"/>
          <w:sz w:val="32"/>
          <w:szCs w:val="32"/>
        </w:rPr>
        <w:t>640.42</w:t>
      </w:r>
      <w:r>
        <w:rPr>
          <w:rFonts w:ascii="Times New Roman" w:eastAsia="仿宋_GB2312" w:hAnsi="Times New Roman" w:cs="Times New Roman"/>
          <w:sz w:val="32"/>
          <w:szCs w:val="32"/>
        </w:rPr>
        <w:t>万元，包括人员经费</w:t>
      </w:r>
      <w:r w:rsidR="00896A3E">
        <w:rPr>
          <w:rFonts w:ascii="Times New Roman" w:eastAsia="仿宋_GB2312" w:hAnsi="Times New Roman" w:cs="Times New Roman" w:hint="eastAsia"/>
          <w:sz w:val="32"/>
          <w:szCs w:val="32"/>
        </w:rPr>
        <w:t>546.7</w:t>
      </w:r>
      <w:r>
        <w:rPr>
          <w:rFonts w:ascii="Times New Roman" w:eastAsia="仿宋_GB2312" w:hAnsi="Times New Roman" w:cs="Times New Roman"/>
          <w:sz w:val="32"/>
          <w:szCs w:val="32"/>
        </w:rPr>
        <w:t>万元和日常公用经费</w:t>
      </w:r>
      <w:r w:rsidR="00896A3E">
        <w:rPr>
          <w:rFonts w:ascii="Times New Roman" w:eastAsia="仿宋_GB2312" w:hAnsi="Times New Roman" w:cs="Times New Roman" w:hint="eastAsia"/>
          <w:sz w:val="32"/>
          <w:szCs w:val="32"/>
        </w:rPr>
        <w:t>93.72</w:t>
      </w:r>
      <w:r>
        <w:rPr>
          <w:rFonts w:ascii="Times New Roman" w:eastAsia="仿宋_GB2312" w:hAnsi="Times New Roman" w:cs="Times New Roman"/>
          <w:sz w:val="32"/>
          <w:szCs w:val="32"/>
        </w:rPr>
        <w:t>万元；项目支出</w:t>
      </w:r>
      <w:r w:rsidR="00896A3E">
        <w:rPr>
          <w:rFonts w:ascii="Times New Roman" w:eastAsia="仿宋_GB2312" w:hAnsi="Times New Roman" w:cs="Times New Roman" w:hint="eastAsia"/>
          <w:sz w:val="32"/>
          <w:szCs w:val="32"/>
        </w:rPr>
        <w:t>1038</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市场主体管理</w:t>
      </w:r>
      <w:r w:rsidR="003E245A">
        <w:rPr>
          <w:rFonts w:ascii="Times New Roman" w:eastAsia="仿宋_GB2312" w:hAnsi="Times New Roman" w:cs="Times New Roman" w:hint="eastAsia"/>
          <w:sz w:val="32"/>
          <w:szCs w:val="32"/>
        </w:rPr>
        <w:t>1038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C5247D" w:rsidRDefault="00D17BAE">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、比上年增减情况</w:t>
      </w:r>
    </w:p>
    <w:p w:rsidR="00C5247D" w:rsidRDefault="00D17BA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年预算收支安排</w:t>
      </w:r>
      <w:r w:rsidR="003E245A">
        <w:rPr>
          <w:rFonts w:ascii="Times New Roman" w:eastAsia="仿宋_GB2312" w:hAnsi="Times New Roman" w:cs="Times New Roman" w:hint="eastAsia"/>
          <w:sz w:val="32"/>
          <w:szCs w:val="32"/>
        </w:rPr>
        <w:t>1678.42</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w:t>
      </w:r>
      <w:r w:rsidR="00FE70DE">
        <w:rPr>
          <w:rFonts w:ascii="Times New Roman" w:eastAsia="仿宋_GB2312" w:hAnsi="Times New Roman" w:cs="Times New Roman" w:hint="eastAsia"/>
          <w:sz w:val="32"/>
          <w:szCs w:val="32"/>
        </w:rPr>
        <w:t>增加</w:t>
      </w:r>
      <w:r w:rsidR="00FE70DE">
        <w:rPr>
          <w:rFonts w:ascii="Times New Roman" w:eastAsia="仿宋_GB2312" w:hAnsi="Times New Roman" w:cs="Times New Roman" w:hint="eastAsia"/>
          <w:sz w:val="32"/>
          <w:szCs w:val="32"/>
        </w:rPr>
        <w:t>114.15</w:t>
      </w:r>
      <w:r>
        <w:rPr>
          <w:rFonts w:ascii="Times New Roman" w:eastAsia="仿宋_GB2312" w:hAnsi="Times New Roman" w:cs="Times New Roman"/>
          <w:sz w:val="32"/>
          <w:szCs w:val="32"/>
        </w:rPr>
        <w:t>万元，其中：基本支出</w:t>
      </w:r>
      <w:r w:rsidR="00FE70DE">
        <w:rPr>
          <w:rFonts w:ascii="Times New Roman" w:eastAsia="仿宋_GB2312" w:hAnsi="Times New Roman" w:cs="Times New Roman" w:hint="eastAsia"/>
          <w:sz w:val="32"/>
          <w:szCs w:val="32"/>
        </w:rPr>
        <w:t>减少</w:t>
      </w:r>
      <w:r w:rsidR="00FE70DE">
        <w:rPr>
          <w:rFonts w:ascii="Times New Roman" w:eastAsia="仿宋_GB2312" w:hAnsi="Times New Roman" w:cs="Times New Roman" w:hint="eastAsia"/>
          <w:sz w:val="32"/>
          <w:szCs w:val="32"/>
        </w:rPr>
        <w:t>15.</w:t>
      </w:r>
      <w:r w:rsidR="002E75B7">
        <w:rPr>
          <w:rFonts w:ascii="Times New Roman" w:eastAsia="仿宋_GB2312" w:hAnsi="Times New Roman" w:cs="Times New Roman" w:hint="eastAsia"/>
          <w:sz w:val="32"/>
          <w:szCs w:val="32"/>
        </w:rPr>
        <w:t>85</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人员经费支出</w:t>
      </w:r>
      <w:r w:rsidR="00FE70DE">
        <w:rPr>
          <w:rFonts w:ascii="Times New Roman" w:eastAsia="仿宋_GB2312" w:hAnsi="Times New Roman" w:cs="Times New Roman" w:hint="eastAsia"/>
          <w:sz w:val="32"/>
          <w:szCs w:val="32"/>
        </w:rPr>
        <w:t>减少</w:t>
      </w:r>
      <w:r w:rsidR="00FE70DE">
        <w:rPr>
          <w:rFonts w:ascii="Times New Roman" w:eastAsia="仿宋_GB2312" w:hAnsi="Times New Roman" w:cs="Times New Roman" w:hint="eastAsia"/>
          <w:sz w:val="32"/>
          <w:szCs w:val="32"/>
        </w:rPr>
        <w:t>15.29</w:t>
      </w:r>
      <w:r>
        <w:rPr>
          <w:rFonts w:ascii="Times New Roman" w:eastAsia="仿宋_GB2312" w:hAnsi="Times New Roman" w:cs="Times New Roman" w:hint="eastAsia"/>
          <w:sz w:val="32"/>
          <w:szCs w:val="32"/>
        </w:rPr>
        <w:t>万元、日常公用经费</w:t>
      </w:r>
      <w:r>
        <w:rPr>
          <w:rFonts w:ascii="Times New Roman" w:eastAsia="仿宋_GB2312" w:hAnsi="Times New Roman" w:cs="Times New Roman"/>
          <w:sz w:val="32"/>
          <w:szCs w:val="32"/>
        </w:rPr>
        <w:t>支出</w:t>
      </w:r>
      <w:r w:rsidR="00FE70DE">
        <w:rPr>
          <w:rFonts w:ascii="Times New Roman" w:eastAsia="仿宋_GB2312" w:hAnsi="Times New Roman" w:cs="Times New Roman" w:hint="eastAsia"/>
          <w:sz w:val="32"/>
          <w:szCs w:val="32"/>
        </w:rPr>
        <w:t>减少</w:t>
      </w:r>
      <w:r w:rsidR="00FE70DE">
        <w:rPr>
          <w:rFonts w:ascii="Times New Roman" w:eastAsia="仿宋_GB2312" w:hAnsi="Times New Roman" w:cs="Times New Roman" w:hint="eastAsia"/>
          <w:sz w:val="32"/>
          <w:szCs w:val="32"/>
        </w:rPr>
        <w:t>0.</w:t>
      </w:r>
      <w:r w:rsidR="002E75B7">
        <w:rPr>
          <w:rFonts w:ascii="Times New Roman" w:eastAsia="仿宋_GB2312" w:hAnsi="Times New Roman" w:cs="Times New Roman" w:hint="eastAsia"/>
          <w:sz w:val="32"/>
          <w:szCs w:val="32"/>
        </w:rPr>
        <w:t>56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；项目支出</w:t>
      </w:r>
      <w:r w:rsidR="00FE70DE">
        <w:rPr>
          <w:rFonts w:ascii="Times New Roman" w:eastAsia="仿宋_GB2312" w:hAnsi="Times New Roman" w:cs="Times New Roman" w:hint="eastAsia"/>
          <w:sz w:val="32"/>
          <w:szCs w:val="32"/>
        </w:rPr>
        <w:t>增加</w:t>
      </w:r>
      <w:r w:rsidR="004F29C3">
        <w:rPr>
          <w:rFonts w:ascii="Times New Roman" w:eastAsia="仿宋_GB2312" w:hAnsi="Times New Roman" w:cs="Times New Roman" w:hint="eastAsia"/>
          <w:sz w:val="32"/>
          <w:szCs w:val="32"/>
        </w:rPr>
        <w:t>130</w:t>
      </w:r>
      <w:r>
        <w:rPr>
          <w:rFonts w:ascii="Times New Roman" w:eastAsia="仿宋_GB2312" w:hAnsi="Times New Roman" w:cs="Times New Roman"/>
          <w:sz w:val="32"/>
          <w:szCs w:val="32"/>
        </w:rPr>
        <w:t>万元，主要为</w:t>
      </w:r>
      <w:r w:rsidR="004F29C3">
        <w:rPr>
          <w:rFonts w:ascii="Times New Roman" w:eastAsia="仿宋_GB2312" w:hAnsi="Times New Roman" w:cs="Times New Roman" w:hint="eastAsia"/>
          <w:sz w:val="32"/>
          <w:szCs w:val="32"/>
        </w:rPr>
        <w:t>提升检测能力</w:t>
      </w:r>
      <w:r w:rsidR="002E75B7">
        <w:rPr>
          <w:rFonts w:ascii="Times New Roman" w:eastAsia="仿宋_GB2312" w:hAnsi="Times New Roman" w:cs="Times New Roman" w:hint="eastAsia"/>
          <w:sz w:val="32"/>
          <w:szCs w:val="32"/>
        </w:rPr>
        <w:t>以及用于检测的耗材</w:t>
      </w:r>
      <w:r>
        <w:rPr>
          <w:rFonts w:ascii="Times New Roman" w:eastAsia="仿宋_GB2312" w:hAnsi="Times New Roman" w:cs="Times New Roman" w:hint="eastAsia"/>
          <w:sz w:val="32"/>
          <w:szCs w:val="32"/>
        </w:rPr>
        <w:t>购置经费</w:t>
      </w:r>
      <w:r w:rsidR="004F29C3">
        <w:rPr>
          <w:rFonts w:ascii="Times New Roman" w:eastAsia="仿宋_GB2312" w:hAnsi="Times New Roman" w:cs="Times New Roman" w:hint="eastAsia"/>
          <w:sz w:val="32"/>
          <w:szCs w:val="32"/>
        </w:rPr>
        <w:t>增加</w:t>
      </w:r>
      <w:r w:rsidR="004F29C3">
        <w:rPr>
          <w:rFonts w:ascii="Times New Roman" w:eastAsia="仿宋_GB2312" w:hAnsi="Times New Roman" w:cs="Times New Roman" w:hint="eastAsia"/>
          <w:sz w:val="32"/>
          <w:szCs w:val="32"/>
        </w:rPr>
        <w:t>115</w:t>
      </w:r>
      <w:r>
        <w:rPr>
          <w:rFonts w:ascii="Times New Roman" w:eastAsia="仿宋_GB2312" w:hAnsi="Times New Roman" w:cs="Times New Roman" w:hint="eastAsia"/>
          <w:sz w:val="32"/>
          <w:szCs w:val="32"/>
        </w:rPr>
        <w:t>万元、</w:t>
      </w:r>
      <w:r w:rsidR="004F29C3">
        <w:rPr>
          <w:rFonts w:ascii="Times New Roman" w:eastAsia="仿宋_GB2312" w:hAnsi="Times New Roman" w:cs="Times New Roman" w:hint="eastAsia"/>
          <w:sz w:val="32"/>
          <w:szCs w:val="32"/>
        </w:rPr>
        <w:t>产品质量检验经费增加</w:t>
      </w:r>
      <w:r w:rsidR="004F29C3">
        <w:rPr>
          <w:rFonts w:ascii="Times New Roman" w:eastAsia="仿宋_GB2312" w:hAnsi="Times New Roman" w:cs="Times New Roman" w:hint="eastAsia"/>
          <w:sz w:val="32"/>
          <w:szCs w:val="32"/>
        </w:rPr>
        <w:t>15</w:t>
      </w:r>
      <w:r w:rsidR="004F29C3">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C5247D" w:rsidRDefault="00D17BAE">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三、机关运行经费安排情况</w:t>
      </w:r>
    </w:p>
    <w:p w:rsidR="00C5247D" w:rsidRDefault="00D17BAE">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sidR="003E245A">
        <w:rPr>
          <w:rFonts w:ascii="Times New Roman" w:eastAsia="仿宋_GB2312" w:hAnsi="Times New Roman" w:cs="Times New Roman" w:hint="eastAsia"/>
          <w:sz w:val="32"/>
          <w:szCs w:val="32"/>
        </w:rPr>
        <w:t>93.72</w:t>
      </w:r>
      <w:r>
        <w:rPr>
          <w:rFonts w:ascii="Times New Roman" w:eastAsia="仿宋_GB2312" w:hAnsi="Times New Roman" w:cs="Times New Roman"/>
          <w:sz w:val="32"/>
          <w:szCs w:val="32"/>
        </w:rPr>
        <w:t>万元，主要用于</w:t>
      </w:r>
      <w:r w:rsidR="007E2F37">
        <w:rPr>
          <w:rFonts w:ascii="Times New Roman" w:eastAsia="仿宋_GB2312" w:hAnsi="Times New Roman" w:cs="Times New Roman" w:hint="eastAsia"/>
          <w:sz w:val="32"/>
          <w:szCs w:val="32"/>
        </w:rPr>
        <w:t>维持本单位正常运转以及</w:t>
      </w:r>
      <w:r>
        <w:rPr>
          <w:rFonts w:ascii="Times New Roman" w:eastAsia="仿宋_GB2312" w:hAnsi="Times New Roman" w:cs="Times New Roman" w:hint="eastAsia"/>
          <w:sz w:val="32"/>
          <w:szCs w:val="32"/>
        </w:rPr>
        <w:t>光明西道</w:t>
      </w:r>
      <w:r>
        <w:rPr>
          <w:rFonts w:ascii="Times New Roman" w:eastAsia="仿宋_GB2312" w:hAnsi="Times New Roman" w:cs="Times New Roman"/>
          <w:sz w:val="32"/>
          <w:szCs w:val="32"/>
        </w:rPr>
        <w:t>办公区的日常维修、办公用房水电费、办公用房取暖费、办公用房物业管理费等日常运行支出。</w:t>
      </w:r>
    </w:p>
    <w:p w:rsidR="00C5247D" w:rsidRDefault="00D17BAE">
      <w:pPr>
        <w:autoSpaceDE w:val="0"/>
        <w:autoSpaceDN w:val="0"/>
        <w:adjustRightInd w:val="0"/>
        <w:spacing w:line="584"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四、财政拨款“三公”经费预算情况及增减变化原因</w:t>
      </w:r>
    </w:p>
    <w:p w:rsidR="00C5247D" w:rsidRDefault="00D17BAE">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sidR="00584A90">
        <w:rPr>
          <w:rFonts w:ascii="Times New Roman" w:eastAsia="仿宋_GB2312" w:hAnsi="Times New Roman" w:cs="Times New Roman" w:hint="eastAsia"/>
          <w:sz w:val="32"/>
          <w:szCs w:val="32"/>
        </w:rPr>
        <w:t>25.53</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sidR="00584A90">
        <w:rPr>
          <w:rFonts w:ascii="Times New Roman" w:eastAsia="仿宋_GB2312" w:hAnsi="Times New Roman" w:cs="Times New Roman" w:hint="eastAsia"/>
          <w:sz w:val="32"/>
          <w:szCs w:val="32"/>
        </w:rPr>
        <w:t>25.4</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sidR="00584A90">
        <w:rPr>
          <w:rFonts w:ascii="Times New Roman" w:eastAsia="仿宋_GB2312" w:hAnsi="Times New Roman" w:cs="Times New Roman" w:hint="eastAsia"/>
          <w:sz w:val="32"/>
          <w:szCs w:val="32"/>
        </w:rPr>
        <w:t>25.4</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sidR="00584A90">
        <w:rPr>
          <w:rFonts w:ascii="Times New Roman" w:eastAsia="仿宋_GB2312" w:hAnsi="Times New Roman" w:cs="Times New Roman" w:hint="eastAsia"/>
          <w:sz w:val="32"/>
          <w:szCs w:val="32"/>
        </w:rPr>
        <w:t>0.13</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w:t>
      </w:r>
      <w:r>
        <w:rPr>
          <w:rFonts w:ascii="Times New Roman" w:eastAsia="仿宋_GB2312" w:hAnsi="Times New Roman" w:cs="Times New Roman"/>
          <w:sz w:val="32"/>
          <w:szCs w:val="32"/>
        </w:rPr>
        <w:t>减</w:t>
      </w:r>
      <w:r>
        <w:rPr>
          <w:rFonts w:ascii="Times New Roman" w:eastAsia="仿宋_GB2312" w:hAnsi="Times New Roman" w:cs="Times New Roman" w:hint="eastAsia"/>
          <w:sz w:val="32"/>
          <w:szCs w:val="32"/>
        </w:rPr>
        <w:t>少</w:t>
      </w:r>
      <w:r w:rsidR="004F29C3">
        <w:rPr>
          <w:rFonts w:ascii="Times New Roman" w:eastAsia="仿宋_GB2312" w:hAnsi="Times New Roman" w:cs="Times New Roman" w:hint="eastAsia"/>
          <w:sz w:val="32"/>
          <w:szCs w:val="32"/>
        </w:rPr>
        <w:t>7.11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公务用车购置及运维费减</w:t>
      </w:r>
      <w:r>
        <w:rPr>
          <w:rFonts w:ascii="Times New Roman" w:eastAsia="仿宋_GB2312" w:hAnsi="Times New Roman" w:cs="Times New Roman" w:hint="eastAsia"/>
          <w:sz w:val="32"/>
          <w:szCs w:val="32"/>
        </w:rPr>
        <w:t>少</w:t>
      </w:r>
      <w:r w:rsidR="003A5D1A">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万元（其中：公务用车购置费减</w:t>
      </w:r>
      <w:r>
        <w:rPr>
          <w:rFonts w:ascii="Times New Roman" w:eastAsia="仿宋_GB2312" w:hAnsi="Times New Roman" w:cs="Times New Roman" w:hint="eastAsia"/>
          <w:sz w:val="32"/>
          <w:szCs w:val="32"/>
        </w:rPr>
        <w:t>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万元，公务用车运维费减</w:t>
      </w:r>
      <w:r>
        <w:rPr>
          <w:rFonts w:ascii="Times New Roman" w:eastAsia="仿宋_GB2312" w:hAnsi="Times New Roman" w:cs="Times New Roman" w:hint="eastAsia"/>
          <w:sz w:val="32"/>
          <w:szCs w:val="32"/>
        </w:rPr>
        <w:t>少</w:t>
      </w:r>
      <w:r w:rsidR="003A5D1A">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主要原因是</w:t>
      </w:r>
      <w:r>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年度我单位报废车辆</w:t>
      </w:r>
      <w:r w:rsidR="00584A90">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部；二是我部门切实落实勤俭节约各项规定，压减公车运行经费支出</w:t>
      </w:r>
      <w:r>
        <w:rPr>
          <w:rFonts w:ascii="Times New Roman" w:eastAsia="仿宋_GB2312" w:hAnsi="Times New Roman" w:cs="Times New Roman"/>
          <w:sz w:val="32"/>
          <w:szCs w:val="32"/>
        </w:rPr>
        <w:t>；公务接待费减</w:t>
      </w:r>
      <w:r>
        <w:rPr>
          <w:rFonts w:ascii="Times New Roman" w:eastAsia="仿宋_GB2312" w:hAnsi="Times New Roman" w:cs="Times New Roman" w:hint="eastAsia"/>
          <w:sz w:val="32"/>
          <w:szCs w:val="32"/>
        </w:rPr>
        <w:t>少</w:t>
      </w:r>
      <w:r w:rsidR="003A5D1A">
        <w:rPr>
          <w:rFonts w:ascii="Times New Roman" w:eastAsia="仿宋_GB2312" w:hAnsi="Times New Roman" w:cs="Times New Roman" w:hint="eastAsia"/>
          <w:sz w:val="32"/>
          <w:szCs w:val="32"/>
        </w:rPr>
        <w:t>0.11</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r w:rsidR="00A15752">
        <w:rPr>
          <w:rFonts w:ascii="Times New Roman" w:eastAsia="仿宋_GB2312" w:hAnsi="Times New Roman" w:cs="Times New Roman"/>
          <w:sz w:val="32"/>
          <w:szCs w:val="32"/>
        </w:rPr>
        <w:t>主要原因是与</w:t>
      </w:r>
      <w:r w:rsidR="00A15752">
        <w:rPr>
          <w:rFonts w:ascii="Times New Roman" w:eastAsia="仿宋_GB2312" w:hAnsi="Times New Roman" w:cs="Times New Roman"/>
          <w:sz w:val="32"/>
          <w:szCs w:val="32"/>
        </w:rPr>
        <w:t>201</w:t>
      </w:r>
      <w:r w:rsidR="00A15752">
        <w:rPr>
          <w:rFonts w:ascii="Times New Roman" w:eastAsia="仿宋_GB2312" w:hAnsi="Times New Roman" w:cs="Times New Roman" w:hint="eastAsia"/>
          <w:sz w:val="32"/>
          <w:szCs w:val="32"/>
        </w:rPr>
        <w:t>9</w:t>
      </w:r>
      <w:r w:rsidR="00A15752">
        <w:rPr>
          <w:rFonts w:ascii="Times New Roman" w:eastAsia="仿宋_GB2312" w:hAnsi="Times New Roman" w:cs="Times New Roman"/>
          <w:sz w:val="32"/>
          <w:szCs w:val="32"/>
        </w:rPr>
        <w:t>年相比</w:t>
      </w:r>
      <w:r w:rsidR="00A15752">
        <w:rPr>
          <w:rFonts w:ascii="Times New Roman" w:eastAsia="仿宋_GB2312" w:hAnsi="Times New Roman" w:cs="Times New Roman" w:hint="eastAsia"/>
          <w:sz w:val="32"/>
          <w:szCs w:val="32"/>
        </w:rPr>
        <w:t>减少我部门切实落实勤俭节约各项规定</w:t>
      </w:r>
      <w:r>
        <w:rPr>
          <w:rFonts w:ascii="Times New Roman" w:eastAsia="仿宋_GB2312" w:hAnsi="Times New Roman" w:cs="Times New Roman"/>
          <w:sz w:val="32"/>
          <w:szCs w:val="32"/>
        </w:rPr>
        <w:t>。</w:t>
      </w:r>
    </w:p>
    <w:p w:rsidR="00C5247D" w:rsidRDefault="00D17BAE">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五、绩效预算信息</w:t>
      </w:r>
    </w:p>
    <w:p w:rsidR="00C5247D" w:rsidRDefault="00D17BAE">
      <w:pPr>
        <w:spacing w:line="584" w:lineRule="exact"/>
        <w:ind w:firstLineChars="200" w:firstLine="643"/>
        <w:rPr>
          <w:rFonts w:ascii="黑体" w:eastAsia="黑体" w:hAnsi="黑体" w:cs="Times New Roman"/>
          <w:b/>
          <w:sz w:val="32"/>
          <w:szCs w:val="32"/>
        </w:rPr>
      </w:pPr>
      <w:r>
        <w:rPr>
          <w:rFonts w:ascii="黑体" w:eastAsia="黑体" w:hAnsi="黑体" w:cs="Times New Roman" w:hint="eastAsia"/>
          <w:b/>
          <w:sz w:val="32"/>
          <w:szCs w:val="32"/>
        </w:rPr>
        <w:t>第一部分 部门整体绩效目标</w:t>
      </w:r>
    </w:p>
    <w:p w:rsidR="00C5247D" w:rsidRDefault="00D17BAE">
      <w:pPr>
        <w:spacing w:line="584" w:lineRule="exact"/>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t>（一）总体绩效目标</w:t>
      </w:r>
    </w:p>
    <w:p w:rsidR="00C5247D" w:rsidRDefault="00D17BAE" w:rsidP="00FD1E9A">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全力服务于全市经济发展</w:t>
      </w:r>
      <w:r>
        <w:rPr>
          <w:rFonts w:ascii="Times New Roman" w:eastAsia="仿宋_GB2312" w:hAnsi="Times New Roman" w:cs="Times New Roman"/>
          <w:sz w:val="32"/>
          <w:szCs w:val="32"/>
        </w:rPr>
        <w:t>,</w:t>
      </w:r>
      <w:r w:rsidR="00FD1E9A">
        <w:rPr>
          <w:rFonts w:ascii="Times New Roman" w:eastAsia="仿宋_GB2312" w:hAnsi="Times New Roman" w:cs="Times New Roman" w:hint="eastAsia"/>
          <w:sz w:val="32"/>
          <w:szCs w:val="32"/>
        </w:rPr>
        <w:t>通过项目开展保证本单位检测室正常运转，为专业技术人员提供物质保障及能力提升，保证设备出具的检测数据准确可靠，检测报告出具及时，提升服务水平，提高被</w:t>
      </w:r>
      <w:r w:rsidR="00FD1E9A">
        <w:rPr>
          <w:rFonts w:ascii="Times New Roman" w:eastAsia="仿宋_GB2312" w:hAnsi="Times New Roman" w:cs="Times New Roman" w:hint="eastAsia"/>
          <w:sz w:val="32"/>
          <w:szCs w:val="32"/>
        </w:rPr>
        <w:lastRenderedPageBreak/>
        <w:t>服务部门满意度，为政府部门履职提供技术支撑，</w:t>
      </w:r>
      <w:r>
        <w:rPr>
          <w:rFonts w:ascii="Times New Roman" w:eastAsia="仿宋_GB2312" w:hAnsi="Times New Roman" w:cs="Times New Roman" w:hint="eastAsia"/>
          <w:sz w:val="32"/>
          <w:szCs w:val="32"/>
        </w:rPr>
        <w:t>培育壮大市场主体</w:t>
      </w:r>
      <w:r w:rsidR="00FA6FC5">
        <w:rPr>
          <w:rFonts w:ascii="Times New Roman" w:eastAsia="仿宋_GB2312" w:hAnsi="Times New Roman" w:cs="Times New Roman" w:hint="eastAsia"/>
          <w:sz w:val="32"/>
          <w:szCs w:val="32"/>
        </w:rPr>
        <w:t>；</w:t>
      </w:r>
      <w:r w:rsidR="003A5D1A">
        <w:rPr>
          <w:rFonts w:ascii="Times New Roman" w:eastAsia="仿宋_GB2312" w:hAnsi="Times New Roman" w:cs="Times New Roman" w:hint="eastAsia"/>
          <w:sz w:val="32"/>
          <w:szCs w:val="32"/>
        </w:rPr>
        <w:t>通过对本行政区域内产品质量监督检验、强制性检验、定期监督检验、监督性抽查检验工作；产品标准、检验细则、检验方法的制定、修订技术工作；开展检验技术、检验方法的研究；开展质量仲裁鉴定检验、产品质量委托检验等工作；开展产品质量检验检测技术咨询服务工作，</w:t>
      </w:r>
      <w:r>
        <w:rPr>
          <w:rFonts w:ascii="Times New Roman" w:eastAsia="仿宋_GB2312" w:hAnsi="Times New Roman" w:cs="Times New Roman" w:hint="eastAsia"/>
          <w:sz w:val="32"/>
          <w:szCs w:val="32"/>
        </w:rPr>
        <w:t>保障消费者的合法权益，推动我市经济发展，不断满足人民日益增长的质量需求。</w:t>
      </w:r>
    </w:p>
    <w:p w:rsidR="00C5247D" w:rsidRDefault="00D17BAE">
      <w:pPr>
        <w:spacing w:line="584" w:lineRule="exact"/>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t>（二）分项绩效目标</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776336">
        <w:rPr>
          <w:rFonts w:ascii="Times New Roman" w:eastAsia="仿宋_GB2312" w:hAnsi="Times New Roman" w:cs="Times New Roman" w:hint="eastAsia"/>
          <w:sz w:val="32"/>
          <w:szCs w:val="32"/>
        </w:rPr>
        <w:t>产品质量检验检测经费</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sidR="00684A82">
        <w:rPr>
          <w:rFonts w:ascii="Times New Roman" w:eastAsia="仿宋_GB2312" w:hAnsi="Times New Roman" w:cs="Times New Roman" w:hint="eastAsia"/>
          <w:sz w:val="32"/>
          <w:szCs w:val="32"/>
        </w:rPr>
        <w:t>通过项目开展完成四批次以上检测任务</w:t>
      </w:r>
      <w:r>
        <w:rPr>
          <w:rFonts w:ascii="Times New Roman" w:eastAsia="仿宋_GB2312" w:hAnsi="Times New Roman" w:cs="Times New Roman"/>
          <w:sz w:val="32"/>
          <w:szCs w:val="32"/>
        </w:rPr>
        <w:t>，</w:t>
      </w:r>
      <w:r w:rsidR="00684A82">
        <w:rPr>
          <w:rFonts w:ascii="Times New Roman" w:eastAsia="仿宋_GB2312" w:hAnsi="Times New Roman" w:cs="Times New Roman" w:hint="eastAsia"/>
          <w:sz w:val="32"/>
          <w:szCs w:val="32"/>
        </w:rPr>
        <w:t>发放劳务人员工资，租用</w:t>
      </w:r>
      <w:r w:rsidR="00684A82">
        <w:rPr>
          <w:rFonts w:ascii="Times New Roman" w:eastAsia="仿宋_GB2312" w:hAnsi="Times New Roman" w:cs="Times New Roman" w:hint="eastAsia"/>
          <w:sz w:val="32"/>
          <w:szCs w:val="32"/>
        </w:rPr>
        <w:t>6</w:t>
      </w:r>
      <w:r w:rsidR="00087672">
        <w:rPr>
          <w:rFonts w:ascii="Times New Roman" w:eastAsia="仿宋_GB2312" w:hAnsi="Times New Roman" w:cs="Times New Roman" w:hint="eastAsia"/>
          <w:sz w:val="32"/>
          <w:szCs w:val="32"/>
        </w:rPr>
        <w:t>辆</w:t>
      </w:r>
      <w:r w:rsidR="00684A82">
        <w:rPr>
          <w:rFonts w:ascii="Times New Roman" w:eastAsia="仿宋_GB2312" w:hAnsi="Times New Roman" w:cs="Times New Roman" w:hint="eastAsia"/>
          <w:sz w:val="32"/>
          <w:szCs w:val="32"/>
        </w:rPr>
        <w:t>检验用车，保证检测设备正常运转，检验结果差错率小于</w:t>
      </w:r>
      <w:r w:rsidR="00684A82">
        <w:rPr>
          <w:rFonts w:ascii="Times New Roman" w:eastAsia="仿宋_GB2312" w:hAnsi="Times New Roman" w:cs="Times New Roman" w:hint="eastAsia"/>
          <w:sz w:val="32"/>
          <w:szCs w:val="32"/>
        </w:rPr>
        <w:t>1%</w:t>
      </w:r>
      <w:r w:rsidR="00684A82">
        <w:rPr>
          <w:rFonts w:ascii="Times New Roman" w:eastAsia="仿宋_GB2312" w:hAnsi="Times New Roman" w:cs="Times New Roman" w:hint="eastAsia"/>
          <w:sz w:val="32"/>
          <w:szCs w:val="32"/>
        </w:rPr>
        <w:t>，为专业技术人员提供物质保障，提升服务水平，提高被服务部门的满意度</w:t>
      </w:r>
      <w:r>
        <w:rPr>
          <w:rFonts w:ascii="Times New Roman" w:eastAsia="仿宋_GB2312" w:hAnsi="Times New Roman" w:cs="Times New Roman"/>
          <w:sz w:val="32"/>
          <w:szCs w:val="32"/>
        </w:rPr>
        <w:t>。</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sidR="00684A82">
        <w:rPr>
          <w:rFonts w:ascii="Times New Roman" w:eastAsia="仿宋_GB2312" w:hAnsi="Times New Roman" w:cs="Times New Roman" w:hint="eastAsia"/>
          <w:sz w:val="32"/>
          <w:szCs w:val="32"/>
        </w:rPr>
        <w:t>年度检验任务计划数</w:t>
      </w:r>
      <w:r>
        <w:rPr>
          <w:rFonts w:ascii="Times New Roman" w:eastAsia="仿宋_GB2312" w:hAnsi="Times New Roman" w:cs="Times New Roman"/>
          <w:sz w:val="32"/>
          <w:szCs w:val="32"/>
        </w:rPr>
        <w:t>大于</w:t>
      </w:r>
      <w:r w:rsidR="00684A82">
        <w:rPr>
          <w:rFonts w:ascii="Times New Roman" w:eastAsia="仿宋_GB2312" w:hAnsi="Times New Roman" w:cs="Times New Roman" w:hint="eastAsia"/>
          <w:sz w:val="32"/>
          <w:szCs w:val="32"/>
        </w:rPr>
        <w:t>4</w:t>
      </w:r>
      <w:r w:rsidR="00684A82">
        <w:rPr>
          <w:rFonts w:ascii="Times New Roman" w:eastAsia="仿宋_GB2312" w:hAnsi="Times New Roman" w:cs="Times New Roman" w:hint="eastAsia"/>
          <w:sz w:val="32"/>
          <w:szCs w:val="32"/>
        </w:rPr>
        <w:t>批次</w:t>
      </w:r>
      <w:r>
        <w:rPr>
          <w:rFonts w:ascii="Times New Roman" w:eastAsia="仿宋_GB2312" w:hAnsi="Times New Roman" w:cs="Times New Roman"/>
          <w:sz w:val="32"/>
          <w:szCs w:val="32"/>
        </w:rPr>
        <w:t>，</w:t>
      </w:r>
      <w:r w:rsidR="00684A82">
        <w:rPr>
          <w:rFonts w:ascii="Times New Roman" w:eastAsia="仿宋_GB2312" w:hAnsi="Times New Roman" w:cs="Times New Roman" w:hint="eastAsia"/>
          <w:sz w:val="32"/>
          <w:szCs w:val="32"/>
        </w:rPr>
        <w:t>业务抽检租用车辆为</w:t>
      </w:r>
      <w:r w:rsidR="00684A82">
        <w:rPr>
          <w:rFonts w:ascii="Times New Roman" w:eastAsia="仿宋_GB2312" w:hAnsi="Times New Roman" w:cs="Times New Roman" w:hint="eastAsia"/>
          <w:sz w:val="32"/>
          <w:szCs w:val="32"/>
        </w:rPr>
        <w:t>6</w:t>
      </w:r>
      <w:r w:rsidR="00087672">
        <w:rPr>
          <w:rFonts w:ascii="Times New Roman" w:eastAsia="仿宋_GB2312" w:hAnsi="Times New Roman" w:cs="Times New Roman" w:hint="eastAsia"/>
          <w:sz w:val="32"/>
          <w:szCs w:val="32"/>
        </w:rPr>
        <w:t>辆</w:t>
      </w:r>
      <w:r>
        <w:rPr>
          <w:rFonts w:ascii="Times New Roman" w:eastAsia="仿宋_GB2312" w:hAnsi="Times New Roman" w:cs="Times New Roman"/>
          <w:sz w:val="32"/>
          <w:szCs w:val="32"/>
        </w:rPr>
        <w:t>，</w:t>
      </w:r>
      <w:r w:rsidR="00684A82">
        <w:rPr>
          <w:rFonts w:ascii="Times New Roman" w:eastAsia="仿宋_GB2312" w:hAnsi="Times New Roman" w:cs="Times New Roman" w:hint="eastAsia"/>
          <w:sz w:val="32"/>
          <w:szCs w:val="32"/>
        </w:rPr>
        <w:t>业务抽检达标车辆合格率</w:t>
      </w:r>
      <w:r w:rsidR="00F14CF2">
        <w:rPr>
          <w:rFonts w:ascii="Times New Roman" w:eastAsia="仿宋_GB2312" w:hAnsi="Times New Roman" w:cs="Times New Roman" w:hint="eastAsia"/>
          <w:sz w:val="32"/>
          <w:szCs w:val="32"/>
        </w:rPr>
        <w:t>100%</w:t>
      </w:r>
      <w:r w:rsidR="00F14CF2">
        <w:rPr>
          <w:rFonts w:ascii="Times New Roman" w:eastAsia="仿宋_GB2312" w:hAnsi="Times New Roman" w:cs="Times New Roman" w:hint="eastAsia"/>
          <w:sz w:val="32"/>
          <w:szCs w:val="32"/>
        </w:rPr>
        <w:t>，</w:t>
      </w:r>
      <w:r w:rsidR="00684A82">
        <w:rPr>
          <w:rFonts w:ascii="Times New Roman" w:eastAsia="仿宋_GB2312" w:hAnsi="Times New Roman" w:cs="Times New Roman" w:hint="eastAsia"/>
          <w:sz w:val="32"/>
          <w:szCs w:val="32"/>
        </w:rPr>
        <w:t>发放劳务费人数大于等于</w:t>
      </w:r>
      <w:r w:rsidR="00684A82">
        <w:rPr>
          <w:rFonts w:ascii="Times New Roman" w:eastAsia="仿宋_GB2312" w:hAnsi="Times New Roman" w:cs="Times New Roman" w:hint="eastAsia"/>
          <w:sz w:val="32"/>
          <w:szCs w:val="32"/>
        </w:rPr>
        <w:t>18</w:t>
      </w:r>
      <w:r w:rsidR="00684A82">
        <w:rPr>
          <w:rFonts w:ascii="Times New Roman" w:eastAsia="仿宋_GB2312" w:hAnsi="Times New Roman" w:cs="Times New Roman" w:hint="eastAsia"/>
          <w:sz w:val="32"/>
          <w:szCs w:val="32"/>
        </w:rPr>
        <w:t>人，</w:t>
      </w:r>
      <w:r w:rsidR="00F14CF2">
        <w:rPr>
          <w:rFonts w:ascii="Times New Roman" w:eastAsia="仿宋_GB2312" w:hAnsi="Times New Roman" w:cs="Times New Roman" w:hint="eastAsia"/>
          <w:sz w:val="32"/>
          <w:szCs w:val="32"/>
        </w:rPr>
        <w:t>检验结果差错率小于等于</w:t>
      </w:r>
      <w:r w:rsidR="00F14CF2">
        <w:rPr>
          <w:rFonts w:ascii="Times New Roman" w:eastAsia="仿宋_GB2312" w:hAnsi="Times New Roman" w:cs="Times New Roman" w:hint="eastAsia"/>
          <w:sz w:val="32"/>
          <w:szCs w:val="32"/>
        </w:rPr>
        <w:t>1%</w:t>
      </w:r>
      <w:r w:rsidR="00F14CF2">
        <w:rPr>
          <w:rFonts w:ascii="Times New Roman" w:eastAsia="仿宋_GB2312" w:hAnsi="Times New Roman" w:cs="Times New Roman" w:hint="eastAsia"/>
          <w:sz w:val="32"/>
          <w:szCs w:val="32"/>
        </w:rPr>
        <w:t>规定时间任务完成达到</w:t>
      </w:r>
      <w:r w:rsidR="00F14CF2">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063A6E">
        <w:rPr>
          <w:rFonts w:ascii="Times New Roman" w:eastAsia="仿宋_GB2312" w:hAnsi="Times New Roman" w:cs="Times New Roman" w:hint="eastAsia"/>
          <w:sz w:val="32"/>
          <w:szCs w:val="32"/>
        </w:rPr>
        <w:t>电子信息中心综合运行费</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sidR="00F14CF2">
        <w:rPr>
          <w:rFonts w:ascii="Times New Roman" w:eastAsia="仿宋_GB2312" w:hAnsi="Times New Roman" w:cs="Times New Roman" w:hint="eastAsia"/>
          <w:sz w:val="32"/>
          <w:szCs w:val="32"/>
        </w:rPr>
        <w:t>通过项目开展实现提高区域电子产品检测能力，扩大检测范围检测结果准确率大于</w:t>
      </w:r>
      <w:r w:rsidR="00F14CF2">
        <w:rPr>
          <w:rFonts w:ascii="Times New Roman" w:eastAsia="仿宋_GB2312" w:hAnsi="Times New Roman" w:cs="Times New Roman" w:hint="eastAsia"/>
          <w:sz w:val="32"/>
          <w:szCs w:val="32"/>
        </w:rPr>
        <w:t>98%</w:t>
      </w:r>
      <w:r w:rsidR="001F4D7F">
        <w:rPr>
          <w:rFonts w:ascii="Times New Roman" w:eastAsia="仿宋_GB2312" w:hAnsi="Times New Roman" w:cs="Times New Roman" w:hint="eastAsia"/>
          <w:sz w:val="32"/>
          <w:szCs w:val="32"/>
        </w:rPr>
        <w:t>，</w:t>
      </w:r>
      <w:r w:rsidR="00F14CF2">
        <w:rPr>
          <w:rFonts w:ascii="Times New Roman" w:eastAsia="仿宋_GB2312" w:hAnsi="Times New Roman" w:cs="Times New Roman" w:hint="eastAsia"/>
          <w:sz w:val="32"/>
          <w:szCs w:val="32"/>
        </w:rPr>
        <w:t>及时完成两批次以上检测任务，客户满意度大于等于</w:t>
      </w:r>
      <w:r w:rsidR="00F14CF2">
        <w:rPr>
          <w:rFonts w:ascii="Times New Roman" w:eastAsia="仿宋_GB2312" w:hAnsi="Times New Roman" w:cs="Times New Roman" w:hint="eastAsia"/>
          <w:sz w:val="32"/>
          <w:szCs w:val="32"/>
        </w:rPr>
        <w:t>98%</w:t>
      </w:r>
      <w:r w:rsidR="00F14CF2">
        <w:rPr>
          <w:rFonts w:ascii="Times New Roman" w:eastAsia="仿宋_GB2312" w:hAnsi="Times New Roman" w:cs="Times New Roman" w:hint="eastAsia"/>
          <w:sz w:val="32"/>
          <w:szCs w:val="32"/>
        </w:rPr>
        <w:t>，准确发放大于等于</w:t>
      </w:r>
      <w:r w:rsidR="00F14CF2">
        <w:rPr>
          <w:rFonts w:ascii="Times New Roman" w:eastAsia="仿宋_GB2312" w:hAnsi="Times New Roman" w:cs="Times New Roman" w:hint="eastAsia"/>
          <w:sz w:val="32"/>
          <w:szCs w:val="32"/>
        </w:rPr>
        <w:t>20</w:t>
      </w:r>
      <w:r w:rsidR="00F14CF2">
        <w:rPr>
          <w:rFonts w:ascii="Times New Roman" w:eastAsia="仿宋_GB2312" w:hAnsi="Times New Roman" w:cs="Times New Roman" w:hint="eastAsia"/>
          <w:sz w:val="32"/>
          <w:szCs w:val="32"/>
        </w:rPr>
        <w:t>人的劳务</w:t>
      </w:r>
      <w:r w:rsidR="00F14CF2">
        <w:rPr>
          <w:rFonts w:ascii="Times New Roman" w:eastAsia="仿宋_GB2312" w:hAnsi="Times New Roman" w:cs="Times New Roman" w:hint="eastAsia"/>
          <w:sz w:val="32"/>
          <w:szCs w:val="32"/>
        </w:rPr>
        <w:lastRenderedPageBreak/>
        <w:t>费用</w:t>
      </w:r>
      <w:r>
        <w:rPr>
          <w:rFonts w:ascii="Times New Roman" w:eastAsia="仿宋_GB2312" w:hAnsi="Times New Roman" w:cs="Times New Roman"/>
          <w:sz w:val="32"/>
          <w:szCs w:val="32"/>
        </w:rPr>
        <w:t>。</w:t>
      </w:r>
      <w:r w:rsidR="00F14CF2">
        <w:rPr>
          <w:rFonts w:ascii="Times New Roman" w:eastAsia="仿宋_GB2312" w:hAnsi="Times New Roman" w:cs="Times New Roman" w:hint="eastAsia"/>
          <w:sz w:val="32"/>
          <w:szCs w:val="32"/>
        </w:rPr>
        <w:t>保证中心四个检测室正常运转，按时完成政府部门下达的检测任务。</w:t>
      </w:r>
    </w:p>
    <w:p w:rsidR="00C5247D" w:rsidRDefault="00D17BAE">
      <w:pPr>
        <w:tabs>
          <w:tab w:val="left" w:pos="14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20" w:lineRule="exact"/>
        <w:ind w:left="141" w:firstLine="488"/>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sidR="00E206D4">
        <w:rPr>
          <w:rFonts w:ascii="Times New Roman" w:eastAsia="仿宋_GB2312" w:hAnsi="Times New Roman" w:cs="Times New Roman" w:hint="eastAsia"/>
          <w:sz w:val="32"/>
          <w:szCs w:val="32"/>
        </w:rPr>
        <w:t>年度完成检测任务批次大于等于</w:t>
      </w:r>
      <w:r w:rsidR="00E206D4">
        <w:rPr>
          <w:rFonts w:ascii="Times New Roman" w:eastAsia="仿宋_GB2312" w:hAnsi="Times New Roman" w:cs="Times New Roman" w:hint="eastAsia"/>
          <w:sz w:val="32"/>
          <w:szCs w:val="32"/>
        </w:rPr>
        <w:t>2</w:t>
      </w:r>
      <w:r w:rsidR="00E206D4">
        <w:rPr>
          <w:rFonts w:ascii="Times New Roman" w:eastAsia="仿宋_GB2312" w:hAnsi="Times New Roman" w:cs="Times New Roman" w:hint="eastAsia"/>
          <w:sz w:val="32"/>
          <w:szCs w:val="32"/>
        </w:rPr>
        <w:t>次，设备检定次数达到</w:t>
      </w:r>
      <w:r w:rsidR="00E206D4">
        <w:rPr>
          <w:rFonts w:ascii="Times New Roman" w:eastAsia="仿宋_GB2312" w:hAnsi="Times New Roman" w:cs="Times New Roman" w:hint="eastAsia"/>
          <w:sz w:val="32"/>
          <w:szCs w:val="32"/>
        </w:rPr>
        <w:t>1</w:t>
      </w:r>
      <w:r w:rsidR="00E206D4">
        <w:rPr>
          <w:rFonts w:ascii="Times New Roman" w:eastAsia="仿宋_GB2312" w:hAnsi="Times New Roman" w:cs="Times New Roman" w:hint="eastAsia"/>
          <w:sz w:val="32"/>
          <w:szCs w:val="32"/>
        </w:rPr>
        <w:t>次，检测结果准确率</w:t>
      </w:r>
      <w:r w:rsidR="0018566F">
        <w:rPr>
          <w:rFonts w:ascii="Times New Roman" w:eastAsia="仿宋_GB2312" w:hAnsi="Times New Roman" w:cs="Times New Roman" w:hint="eastAsia"/>
          <w:sz w:val="32"/>
          <w:szCs w:val="32"/>
        </w:rPr>
        <w:t>大于</w:t>
      </w:r>
      <w:r w:rsidR="00E206D4">
        <w:rPr>
          <w:rFonts w:ascii="Times New Roman" w:eastAsia="仿宋_GB2312" w:hAnsi="Times New Roman" w:cs="Times New Roman" w:hint="eastAsia"/>
          <w:sz w:val="32"/>
          <w:szCs w:val="32"/>
        </w:rPr>
        <w:t>98</w:t>
      </w:r>
      <w:r w:rsidR="0018566F">
        <w:rPr>
          <w:rFonts w:ascii="Times New Roman" w:eastAsia="仿宋_GB2312" w:hAnsi="Times New Roman" w:cs="Times New Roman" w:hint="eastAsia"/>
          <w:sz w:val="32"/>
          <w:szCs w:val="32"/>
        </w:rPr>
        <w:t>%</w:t>
      </w:r>
      <w:r w:rsidR="0018566F">
        <w:rPr>
          <w:rFonts w:ascii="Times New Roman" w:eastAsia="仿宋_GB2312" w:hAnsi="Times New Roman" w:cs="Times New Roman" w:hint="eastAsia"/>
          <w:sz w:val="32"/>
          <w:szCs w:val="32"/>
        </w:rPr>
        <w:t>，购置材料验收合格率达到</w:t>
      </w:r>
      <w:r w:rsidR="0018566F">
        <w:rPr>
          <w:rFonts w:ascii="Times New Roman" w:eastAsia="仿宋_GB2312" w:hAnsi="Times New Roman" w:cs="Times New Roman" w:hint="eastAsia"/>
          <w:sz w:val="32"/>
          <w:szCs w:val="32"/>
        </w:rPr>
        <w:t>100%</w:t>
      </w:r>
      <w:r w:rsidR="0018566F">
        <w:rPr>
          <w:rFonts w:ascii="Times New Roman" w:eastAsia="仿宋_GB2312" w:hAnsi="Times New Roman" w:cs="Times New Roman" w:hint="eastAsia"/>
          <w:sz w:val="32"/>
          <w:szCs w:val="32"/>
        </w:rPr>
        <w:t>，在规定时间内完成监测计划按时出具检测数据大于</w:t>
      </w:r>
      <w:r w:rsidR="0018566F">
        <w:rPr>
          <w:rFonts w:ascii="Times New Roman" w:eastAsia="仿宋_GB2312" w:hAnsi="Times New Roman" w:cs="Times New Roman" w:hint="eastAsia"/>
          <w:sz w:val="32"/>
          <w:szCs w:val="32"/>
        </w:rPr>
        <w:t>95%</w:t>
      </w:r>
      <w:r w:rsidR="0018566F">
        <w:rPr>
          <w:rFonts w:ascii="Times New Roman" w:eastAsia="仿宋_GB2312" w:hAnsi="Times New Roman" w:cs="Times New Roman" w:hint="eastAsia"/>
          <w:sz w:val="32"/>
          <w:szCs w:val="32"/>
        </w:rPr>
        <w:t>，提高技术人员的检验检测水平，档案管理机制健全。</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684A82">
        <w:rPr>
          <w:rFonts w:ascii="Times New Roman" w:eastAsia="仿宋_GB2312" w:hAnsi="Times New Roman" w:cs="Times New Roman" w:hint="eastAsia"/>
          <w:sz w:val="32"/>
          <w:szCs w:val="32"/>
        </w:rPr>
        <w:t>质量</w:t>
      </w:r>
      <w:r w:rsidR="00063A6E">
        <w:rPr>
          <w:rFonts w:ascii="Times New Roman" w:eastAsia="仿宋_GB2312" w:hAnsi="Times New Roman" w:cs="Times New Roman" w:hint="eastAsia"/>
          <w:sz w:val="32"/>
          <w:szCs w:val="32"/>
        </w:rPr>
        <w:t>仪器设备购置经费</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绩效目标：</w:t>
      </w:r>
      <w:r w:rsidR="0018566F">
        <w:rPr>
          <w:rFonts w:ascii="Times New Roman" w:eastAsia="仿宋_GB2312" w:hAnsi="Times New Roman" w:cs="Times New Roman" w:hint="eastAsia"/>
          <w:sz w:val="32"/>
          <w:szCs w:val="32"/>
        </w:rPr>
        <w:t>本项目于</w:t>
      </w:r>
      <w:r w:rsidR="0018566F">
        <w:rPr>
          <w:rFonts w:ascii="Times New Roman" w:eastAsia="仿宋_GB2312" w:hAnsi="Times New Roman" w:cs="Times New Roman" w:hint="eastAsia"/>
          <w:sz w:val="32"/>
          <w:szCs w:val="32"/>
        </w:rPr>
        <w:t>2019</w:t>
      </w:r>
      <w:r w:rsidR="0018566F">
        <w:rPr>
          <w:rFonts w:ascii="Times New Roman" w:eastAsia="仿宋_GB2312" w:hAnsi="Times New Roman" w:cs="Times New Roman" w:hint="eastAsia"/>
          <w:sz w:val="32"/>
          <w:szCs w:val="32"/>
        </w:rPr>
        <w:t>年</w:t>
      </w:r>
      <w:r w:rsidR="0018566F">
        <w:rPr>
          <w:rFonts w:ascii="Times New Roman" w:eastAsia="仿宋_GB2312" w:hAnsi="Times New Roman" w:cs="Times New Roman" w:hint="eastAsia"/>
          <w:sz w:val="32"/>
          <w:szCs w:val="32"/>
        </w:rPr>
        <w:t>10</w:t>
      </w:r>
      <w:r w:rsidR="0018566F">
        <w:rPr>
          <w:rFonts w:ascii="Times New Roman" w:eastAsia="仿宋_GB2312" w:hAnsi="Times New Roman" w:cs="Times New Roman" w:hint="eastAsia"/>
          <w:sz w:val="32"/>
          <w:szCs w:val="32"/>
        </w:rPr>
        <w:t>月份开始安排，通过项目开展用于购置</w:t>
      </w:r>
      <w:r w:rsidR="0018566F">
        <w:rPr>
          <w:rFonts w:ascii="Times New Roman" w:eastAsia="仿宋_GB2312" w:hAnsi="Times New Roman" w:cs="Times New Roman" w:hint="eastAsia"/>
          <w:sz w:val="32"/>
          <w:szCs w:val="32"/>
        </w:rPr>
        <w:t>11</w:t>
      </w:r>
      <w:r w:rsidR="0018566F">
        <w:rPr>
          <w:rFonts w:ascii="Times New Roman" w:eastAsia="仿宋_GB2312" w:hAnsi="Times New Roman" w:cs="Times New Roman" w:hint="eastAsia"/>
          <w:sz w:val="32"/>
          <w:szCs w:val="32"/>
        </w:rPr>
        <w:t>台套检测设备，达到提升我单位检测部门的检测能力，采购设备全部产品验收合格率达到</w:t>
      </w:r>
      <w:r w:rsidR="0018566F">
        <w:rPr>
          <w:rFonts w:ascii="Times New Roman" w:eastAsia="仿宋_GB2312" w:hAnsi="Times New Roman" w:cs="Times New Roman" w:hint="eastAsia"/>
          <w:sz w:val="32"/>
          <w:szCs w:val="32"/>
        </w:rPr>
        <w:t>100%</w:t>
      </w:r>
      <w:r w:rsidR="0018566F">
        <w:rPr>
          <w:rFonts w:ascii="Times New Roman" w:eastAsia="仿宋_GB2312" w:hAnsi="Times New Roman" w:cs="Times New Roman" w:hint="eastAsia"/>
          <w:sz w:val="32"/>
          <w:szCs w:val="32"/>
        </w:rPr>
        <w:t>，招标程序合规率达到</w:t>
      </w:r>
      <w:r w:rsidR="0018566F">
        <w:rPr>
          <w:rFonts w:ascii="Times New Roman" w:eastAsia="仿宋_GB2312" w:hAnsi="Times New Roman" w:cs="Times New Roman" w:hint="eastAsia"/>
          <w:sz w:val="32"/>
          <w:szCs w:val="32"/>
        </w:rPr>
        <w:t>100%</w:t>
      </w:r>
      <w:r w:rsidR="0018566F">
        <w:rPr>
          <w:rFonts w:ascii="Times New Roman" w:eastAsia="仿宋_GB2312" w:hAnsi="Times New Roman" w:cs="Times New Roman" w:hint="eastAsia"/>
          <w:sz w:val="32"/>
          <w:szCs w:val="32"/>
        </w:rPr>
        <w:t>，从而达到我单位提升检测能力的目标</w:t>
      </w:r>
      <w:r>
        <w:rPr>
          <w:rFonts w:ascii="Times New Roman" w:eastAsia="仿宋_GB2312" w:hAnsi="Times New Roman" w:cs="Times New Roman"/>
          <w:sz w:val="32"/>
          <w:szCs w:val="32"/>
        </w:rPr>
        <w:t>。</w:t>
      </w:r>
    </w:p>
    <w:p w:rsidR="00C5247D" w:rsidRDefault="00D17BA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绩效指标：</w:t>
      </w:r>
      <w:r w:rsidR="00792BB7">
        <w:rPr>
          <w:rFonts w:ascii="Times New Roman" w:eastAsia="仿宋_GB2312" w:hAnsi="Times New Roman" w:cs="Times New Roman" w:hint="eastAsia"/>
          <w:sz w:val="32"/>
          <w:szCs w:val="32"/>
        </w:rPr>
        <w:t>年度按时完成购置</w:t>
      </w:r>
      <w:r w:rsidR="00792BB7">
        <w:rPr>
          <w:rFonts w:ascii="Times New Roman" w:eastAsia="仿宋_GB2312" w:hAnsi="Times New Roman" w:cs="Times New Roman" w:hint="eastAsia"/>
          <w:sz w:val="32"/>
          <w:szCs w:val="32"/>
        </w:rPr>
        <w:t>11</w:t>
      </w:r>
      <w:r w:rsidR="00792BB7">
        <w:rPr>
          <w:rFonts w:ascii="Times New Roman" w:eastAsia="仿宋_GB2312" w:hAnsi="Times New Roman" w:cs="Times New Roman" w:hint="eastAsia"/>
          <w:sz w:val="32"/>
          <w:szCs w:val="32"/>
        </w:rPr>
        <w:t>台套检测设备数量，设备验收通过率达到</w:t>
      </w:r>
      <w:r w:rsidR="00792BB7">
        <w:rPr>
          <w:rFonts w:ascii="Times New Roman" w:eastAsia="仿宋_GB2312" w:hAnsi="Times New Roman" w:cs="Times New Roman" w:hint="eastAsia"/>
          <w:sz w:val="32"/>
          <w:szCs w:val="32"/>
        </w:rPr>
        <w:t>100%</w:t>
      </w:r>
      <w:r w:rsidR="00792BB7">
        <w:rPr>
          <w:rFonts w:ascii="Times New Roman" w:eastAsia="仿宋_GB2312" w:hAnsi="Times New Roman" w:cs="Times New Roman" w:hint="eastAsia"/>
          <w:sz w:val="32"/>
          <w:szCs w:val="32"/>
        </w:rPr>
        <w:t>，招标程序合格率达到</w:t>
      </w:r>
      <w:r w:rsidR="00792BB7">
        <w:rPr>
          <w:rFonts w:ascii="Times New Roman" w:eastAsia="仿宋_GB2312" w:hAnsi="Times New Roman" w:cs="Times New Roman" w:hint="eastAsia"/>
          <w:sz w:val="32"/>
          <w:szCs w:val="32"/>
        </w:rPr>
        <w:t>100%</w:t>
      </w:r>
      <w:r w:rsidR="00792BB7">
        <w:rPr>
          <w:rFonts w:ascii="Times New Roman" w:eastAsia="仿宋_GB2312" w:hAnsi="Times New Roman" w:cs="Times New Roman" w:hint="eastAsia"/>
          <w:sz w:val="32"/>
          <w:szCs w:val="32"/>
        </w:rPr>
        <w:t>，</w:t>
      </w:r>
      <w:r w:rsidR="001F678B">
        <w:rPr>
          <w:rFonts w:ascii="Times New Roman" w:eastAsia="仿宋_GB2312" w:hAnsi="Times New Roman" w:cs="Times New Roman" w:hint="eastAsia"/>
          <w:sz w:val="32"/>
          <w:szCs w:val="32"/>
        </w:rPr>
        <w:t>成本控制小于等于</w:t>
      </w:r>
      <w:r w:rsidR="001F678B">
        <w:rPr>
          <w:rFonts w:ascii="Times New Roman" w:eastAsia="仿宋_GB2312" w:hAnsi="Times New Roman" w:cs="Times New Roman" w:hint="eastAsia"/>
          <w:sz w:val="32"/>
          <w:szCs w:val="32"/>
        </w:rPr>
        <w:t>210</w:t>
      </w:r>
      <w:r w:rsidR="001F678B">
        <w:rPr>
          <w:rFonts w:ascii="Times New Roman" w:eastAsia="仿宋_GB2312" w:hAnsi="Times New Roman" w:cs="Times New Roman" w:hint="eastAsia"/>
          <w:sz w:val="32"/>
          <w:szCs w:val="32"/>
        </w:rPr>
        <w:t>万元，设备维护机制健全，提升单位检测能力</w:t>
      </w:r>
      <w:r>
        <w:rPr>
          <w:rFonts w:ascii="Times New Roman" w:eastAsia="仿宋_GB2312" w:hAnsi="Times New Roman" w:cs="Times New Roman"/>
          <w:sz w:val="32"/>
          <w:szCs w:val="32"/>
        </w:rPr>
        <w:t>。</w:t>
      </w:r>
    </w:p>
    <w:p w:rsidR="00C5247D" w:rsidRDefault="00D17BAE">
      <w:pPr>
        <w:spacing w:line="584" w:lineRule="exact"/>
        <w:ind w:firstLineChars="200" w:firstLine="643"/>
        <w:rPr>
          <w:rFonts w:ascii="楷体_GB2312" w:eastAsia="楷体_GB2312" w:hAnsi="楷体" w:cs="Times New Roman"/>
          <w:b/>
          <w:sz w:val="32"/>
          <w:szCs w:val="32"/>
        </w:rPr>
      </w:pPr>
      <w:r>
        <w:rPr>
          <w:rFonts w:ascii="楷体_GB2312" w:eastAsia="楷体_GB2312" w:hAnsi="楷体" w:cs="Times New Roman" w:hint="eastAsia"/>
          <w:b/>
          <w:sz w:val="32"/>
          <w:szCs w:val="32"/>
        </w:rPr>
        <w:t>（三）工作保障措施</w:t>
      </w:r>
    </w:p>
    <w:p w:rsidR="00C5247D" w:rsidRDefault="007C6D51" w:rsidP="00BE0952">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提高思想认识，建立健全各项工作制度。</w:t>
      </w:r>
      <w:r w:rsidR="00D17BAE">
        <w:rPr>
          <w:rFonts w:ascii="Times New Roman" w:eastAsia="仿宋_GB2312" w:hAnsi="Times New Roman" w:cs="Times New Roman" w:hint="eastAsia"/>
          <w:sz w:val="32"/>
          <w:szCs w:val="32"/>
        </w:rPr>
        <w:t>发挥</w:t>
      </w:r>
      <w:r>
        <w:rPr>
          <w:rFonts w:ascii="Times New Roman" w:eastAsia="仿宋_GB2312" w:hAnsi="Times New Roman" w:cs="Times New Roman" w:hint="eastAsia"/>
          <w:sz w:val="32"/>
          <w:szCs w:val="32"/>
        </w:rPr>
        <w:t>本所职能</w:t>
      </w:r>
      <w:r w:rsidR="00D17BAE">
        <w:rPr>
          <w:rFonts w:ascii="Times New Roman" w:eastAsia="仿宋_GB2312" w:hAnsi="Times New Roman" w:cs="Times New Roman" w:hint="eastAsia"/>
          <w:sz w:val="32"/>
          <w:szCs w:val="32"/>
        </w:rPr>
        <w:t>，确保</w:t>
      </w:r>
      <w:r>
        <w:rPr>
          <w:rFonts w:ascii="Times New Roman" w:eastAsia="仿宋_GB2312" w:hAnsi="Times New Roman" w:cs="Times New Roman" w:hint="eastAsia"/>
          <w:sz w:val="32"/>
          <w:szCs w:val="32"/>
        </w:rPr>
        <w:t>产品质量检验工作正常开展，为</w:t>
      </w:r>
      <w:r w:rsidR="001F4D7F">
        <w:rPr>
          <w:rFonts w:ascii="Times New Roman" w:eastAsia="仿宋_GB2312" w:hAnsi="Times New Roman" w:cs="Times New Roman" w:hint="eastAsia"/>
          <w:sz w:val="32"/>
          <w:szCs w:val="32"/>
        </w:rPr>
        <w:t>廊坊市市场</w:t>
      </w:r>
      <w:r>
        <w:rPr>
          <w:rFonts w:ascii="Times New Roman" w:eastAsia="仿宋_GB2312" w:hAnsi="Times New Roman" w:cs="Times New Roman" w:hint="eastAsia"/>
          <w:sz w:val="32"/>
          <w:szCs w:val="32"/>
        </w:rPr>
        <w:t>监管工作保驾护航</w:t>
      </w:r>
      <w:r w:rsidR="00D17B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为</w:t>
      </w:r>
      <w:r w:rsidR="00D17BAE">
        <w:rPr>
          <w:rFonts w:ascii="Times New Roman" w:eastAsia="仿宋_GB2312" w:hAnsi="Times New Roman" w:cs="Times New Roman" w:hint="eastAsia"/>
          <w:sz w:val="32"/>
          <w:szCs w:val="32"/>
        </w:rPr>
        <w:t>维护全市市场经济秩序</w:t>
      </w:r>
      <w:r>
        <w:rPr>
          <w:rFonts w:ascii="Times New Roman" w:eastAsia="仿宋_GB2312" w:hAnsi="Times New Roman" w:cs="Times New Roman" w:hint="eastAsia"/>
          <w:sz w:val="32"/>
          <w:szCs w:val="32"/>
        </w:rPr>
        <w:t>提供技术支持</w:t>
      </w:r>
      <w:r w:rsidR="00D17BAE">
        <w:rPr>
          <w:rFonts w:ascii="Times New Roman" w:eastAsia="仿宋_GB2312" w:hAnsi="Times New Roman" w:cs="Times New Roman" w:hint="eastAsia"/>
          <w:sz w:val="32"/>
          <w:szCs w:val="32"/>
        </w:rPr>
        <w:t>。</w:t>
      </w:r>
      <w:r w:rsidR="00585BA1">
        <w:rPr>
          <w:rFonts w:ascii="Times New Roman" w:eastAsia="仿宋_GB2312" w:hAnsi="Times New Roman" w:cs="Times New Roman" w:hint="eastAsia"/>
          <w:sz w:val="32"/>
          <w:szCs w:val="32"/>
        </w:rPr>
        <w:t>2020</w:t>
      </w:r>
      <w:r w:rsidR="00585BA1">
        <w:rPr>
          <w:rFonts w:ascii="Times New Roman" w:eastAsia="仿宋_GB2312" w:hAnsi="Times New Roman" w:cs="Times New Roman" w:hint="eastAsia"/>
          <w:sz w:val="32"/>
          <w:szCs w:val="32"/>
        </w:rPr>
        <w:t>年在思想上</w:t>
      </w:r>
      <w:r w:rsidR="00D17BAE">
        <w:rPr>
          <w:rFonts w:ascii="Times New Roman" w:eastAsia="仿宋_GB2312" w:hAnsi="Times New Roman" w:cs="Times New Roman" w:hint="eastAsia"/>
          <w:sz w:val="32"/>
          <w:szCs w:val="32"/>
        </w:rPr>
        <w:t>我们必须提高政治站位</w:t>
      </w:r>
      <w:r w:rsidR="00585BA1">
        <w:rPr>
          <w:rFonts w:ascii="Times New Roman" w:eastAsia="仿宋_GB2312" w:hAnsi="Times New Roman" w:cs="Times New Roman" w:hint="eastAsia"/>
          <w:sz w:val="32"/>
          <w:szCs w:val="32"/>
        </w:rPr>
        <w:t>，紧跟当前形势拥有大局观念</w:t>
      </w:r>
      <w:r w:rsidR="00236FEE">
        <w:rPr>
          <w:rFonts w:ascii="Times New Roman" w:eastAsia="仿宋_GB2312" w:hAnsi="Times New Roman" w:cs="Times New Roman" w:hint="eastAsia"/>
          <w:sz w:val="32"/>
          <w:szCs w:val="32"/>
        </w:rPr>
        <w:t>，开阔眼界；</w:t>
      </w:r>
      <w:r w:rsidR="00585BA1">
        <w:rPr>
          <w:rFonts w:ascii="Times New Roman" w:eastAsia="仿宋_GB2312" w:hAnsi="Times New Roman" w:cs="Times New Roman" w:hint="eastAsia"/>
          <w:sz w:val="32"/>
          <w:szCs w:val="32"/>
        </w:rPr>
        <w:t>加强技术方面的</w:t>
      </w:r>
      <w:r w:rsidR="00236FEE">
        <w:rPr>
          <w:rFonts w:ascii="Times New Roman" w:eastAsia="仿宋_GB2312" w:hAnsi="Times New Roman" w:cs="Times New Roman" w:hint="eastAsia"/>
          <w:sz w:val="32"/>
          <w:szCs w:val="32"/>
        </w:rPr>
        <w:t>培训</w:t>
      </w:r>
      <w:r>
        <w:rPr>
          <w:rFonts w:ascii="Times New Roman" w:eastAsia="仿宋_GB2312" w:hAnsi="Times New Roman" w:cs="Times New Roman" w:hint="eastAsia"/>
          <w:sz w:val="32"/>
          <w:szCs w:val="32"/>
        </w:rPr>
        <w:t>提升</w:t>
      </w:r>
      <w:r w:rsidR="00236FEE">
        <w:rPr>
          <w:rFonts w:ascii="Times New Roman" w:eastAsia="仿宋_GB2312" w:hAnsi="Times New Roman" w:cs="Times New Roman" w:hint="eastAsia"/>
          <w:sz w:val="32"/>
          <w:szCs w:val="32"/>
        </w:rPr>
        <w:t>职工</w:t>
      </w:r>
      <w:r>
        <w:rPr>
          <w:rFonts w:ascii="Times New Roman" w:eastAsia="仿宋_GB2312" w:hAnsi="Times New Roman" w:cs="Times New Roman" w:hint="eastAsia"/>
          <w:sz w:val="32"/>
          <w:szCs w:val="32"/>
        </w:rPr>
        <w:t>工作</w:t>
      </w:r>
      <w:r w:rsidR="00CF076D">
        <w:rPr>
          <w:rFonts w:ascii="Times New Roman" w:eastAsia="仿宋_GB2312" w:hAnsi="Times New Roman" w:cs="Times New Roman" w:hint="eastAsia"/>
          <w:sz w:val="32"/>
          <w:szCs w:val="32"/>
        </w:rPr>
        <w:t>水平和</w:t>
      </w:r>
      <w:r w:rsidR="00236FEE">
        <w:rPr>
          <w:rFonts w:ascii="Times New Roman" w:eastAsia="仿宋_GB2312" w:hAnsi="Times New Roman" w:cs="Times New Roman" w:hint="eastAsia"/>
          <w:sz w:val="32"/>
          <w:szCs w:val="32"/>
        </w:rPr>
        <w:t>检测</w:t>
      </w:r>
      <w:r w:rsidR="00CF076D">
        <w:rPr>
          <w:rFonts w:ascii="Times New Roman" w:eastAsia="仿宋_GB2312" w:hAnsi="Times New Roman" w:cs="Times New Roman" w:hint="eastAsia"/>
          <w:sz w:val="32"/>
          <w:szCs w:val="32"/>
        </w:rPr>
        <w:t>能力</w:t>
      </w:r>
      <w:r w:rsidR="00D17BAE">
        <w:rPr>
          <w:rFonts w:ascii="Times New Roman" w:eastAsia="仿宋_GB2312" w:hAnsi="Times New Roman" w:cs="Times New Roman" w:hint="eastAsia"/>
          <w:sz w:val="32"/>
          <w:szCs w:val="32"/>
        </w:rPr>
        <w:t>。</w:t>
      </w:r>
      <w:r w:rsidR="00BE0952">
        <w:rPr>
          <w:rFonts w:ascii="Times New Roman" w:eastAsia="仿宋_GB2312" w:hAnsi="Times New Roman" w:cs="Times New Roman" w:hint="eastAsia"/>
          <w:sz w:val="32"/>
          <w:szCs w:val="32"/>
        </w:rPr>
        <w:t>以严谨的工作作风抓好各项工作落实，作为</w:t>
      </w:r>
      <w:r w:rsidR="00D17BAE">
        <w:rPr>
          <w:rFonts w:ascii="Times New Roman" w:eastAsia="仿宋_GB2312" w:hAnsi="Times New Roman" w:cs="Times New Roman" w:hint="eastAsia"/>
          <w:sz w:val="32"/>
          <w:szCs w:val="32"/>
        </w:rPr>
        <w:t>市场监管人必须坚决遵守</w:t>
      </w:r>
      <w:r w:rsidR="00BE0952">
        <w:rPr>
          <w:rFonts w:ascii="Times New Roman" w:eastAsia="仿宋_GB2312" w:hAnsi="Times New Roman" w:cs="Times New Roman" w:hint="eastAsia"/>
          <w:sz w:val="32"/>
          <w:szCs w:val="32"/>
        </w:rPr>
        <w:t>各项规章制度</w:t>
      </w:r>
      <w:r w:rsidR="00D17BAE">
        <w:rPr>
          <w:rFonts w:ascii="Times New Roman" w:eastAsia="仿宋_GB2312" w:hAnsi="Times New Roman" w:cs="Times New Roman" w:hint="eastAsia"/>
          <w:sz w:val="32"/>
          <w:szCs w:val="32"/>
        </w:rPr>
        <w:t>，把</w:t>
      </w:r>
      <w:r w:rsidR="00D17BAE">
        <w:rPr>
          <w:rFonts w:ascii="Times New Roman" w:eastAsia="仿宋_GB2312" w:hAnsi="Times New Roman" w:cs="Times New Roman"/>
          <w:sz w:val="32"/>
          <w:szCs w:val="32"/>
        </w:rPr>
        <w:t>“</w:t>
      </w:r>
      <w:r w:rsidR="00D17BAE">
        <w:rPr>
          <w:rFonts w:ascii="Times New Roman" w:eastAsia="仿宋_GB2312" w:hAnsi="Times New Roman" w:cs="Times New Roman" w:hint="eastAsia"/>
          <w:sz w:val="32"/>
          <w:szCs w:val="32"/>
        </w:rPr>
        <w:t>从严监管</w:t>
      </w:r>
      <w:r w:rsidR="00D17BAE">
        <w:rPr>
          <w:rFonts w:ascii="Times New Roman" w:eastAsia="仿宋_GB2312" w:hAnsi="Times New Roman" w:cs="Times New Roman"/>
          <w:sz w:val="32"/>
          <w:szCs w:val="32"/>
        </w:rPr>
        <w:t>”</w:t>
      </w:r>
      <w:r w:rsidR="00D17BAE">
        <w:rPr>
          <w:rFonts w:ascii="Times New Roman" w:eastAsia="仿宋_GB2312" w:hAnsi="Times New Roman" w:cs="Times New Roman" w:hint="eastAsia"/>
          <w:sz w:val="32"/>
          <w:szCs w:val="32"/>
        </w:rPr>
        <w:t>作为常态，贯穿于市场监管各个环节</w:t>
      </w:r>
      <w:r w:rsidR="00BE0952">
        <w:rPr>
          <w:rFonts w:ascii="Times New Roman" w:eastAsia="仿宋_GB2312" w:hAnsi="Times New Roman" w:cs="Times New Roman" w:hint="eastAsia"/>
          <w:sz w:val="32"/>
          <w:szCs w:val="32"/>
        </w:rPr>
        <w:t>。为区域经济发展以及政府履职提供技术保障</w:t>
      </w:r>
      <w:r w:rsidR="00D17BAE">
        <w:rPr>
          <w:rFonts w:ascii="Times New Roman" w:eastAsia="仿宋_GB2312" w:hAnsi="Times New Roman" w:cs="Times New Roman" w:hint="eastAsia"/>
          <w:sz w:val="32"/>
          <w:szCs w:val="32"/>
        </w:rPr>
        <w:t>。</w:t>
      </w:r>
    </w:p>
    <w:p w:rsidR="00C5247D" w:rsidRPr="00AF5221" w:rsidRDefault="00D17BAE" w:rsidP="00AF5221">
      <w:pPr>
        <w:spacing w:line="584" w:lineRule="exact"/>
        <w:ind w:firstLineChars="200" w:firstLine="640"/>
        <w:rPr>
          <w:rFonts w:ascii="楷体_GB2312" w:eastAsia="楷体_GB2312" w:hAnsi="Times New Roman" w:cs="Times New Roman"/>
          <w:b/>
          <w:sz w:val="28"/>
        </w:rPr>
      </w:pPr>
      <w:r>
        <w:rPr>
          <w:rFonts w:ascii="Times New Roman" w:eastAsia="黑体" w:hAnsi="黑体" w:cs="Times New Roman" w:hint="eastAsia"/>
          <w:sz w:val="32"/>
          <w:szCs w:val="32"/>
        </w:rPr>
        <w:t>第二部分</w:t>
      </w:r>
      <w:r>
        <w:rPr>
          <w:rFonts w:ascii="Times New Roman" w:eastAsia="黑体" w:hAnsi="黑体" w:cs="Times New Roman" w:hint="eastAsia"/>
          <w:sz w:val="32"/>
          <w:szCs w:val="32"/>
        </w:rPr>
        <w:t xml:space="preserve"> </w:t>
      </w:r>
      <w:r w:rsidR="002C250B">
        <w:rPr>
          <w:rFonts w:ascii="Times New Roman" w:eastAsia="黑体" w:hAnsi="黑体" w:cs="Times New Roman" w:hint="eastAsia"/>
          <w:sz w:val="32"/>
          <w:szCs w:val="32"/>
        </w:rPr>
        <w:t>资金绩效目标</w:t>
      </w:r>
      <w:r w:rsidR="00CB443E">
        <w:rPr>
          <w:rFonts w:ascii="方正仿宋_GBK" w:eastAsia="方正仿宋_GBK"/>
          <w:b/>
          <w:sz w:val="28"/>
        </w:rPr>
        <w:fldChar w:fldCharType="begin"/>
      </w:r>
      <w:r>
        <w:rPr>
          <w:rFonts w:ascii="方正仿宋_GBK" w:eastAsia="方正仿宋_GBK"/>
          <w:b/>
          <w:sz w:val="28"/>
        </w:rPr>
        <w:instrText xml:space="preserve"> TC </w:instrText>
      </w:r>
      <w:bookmarkStart w:id="0" w:name="_Toc29760873"/>
      <w:r>
        <w:rPr>
          <w:rFonts w:ascii="方正仿宋_GBK" w:eastAsia="方正仿宋_GBK"/>
          <w:b/>
          <w:sz w:val="28"/>
        </w:rPr>
        <w:instrText>38、知识产权资助与奖励专项资金绩效目标表</w:instrText>
      </w:r>
      <w:bookmarkEnd w:id="0"/>
      <w:r>
        <w:rPr>
          <w:rFonts w:ascii="方正仿宋_GBK" w:eastAsia="方正仿宋_GBK"/>
          <w:b/>
          <w:sz w:val="28"/>
        </w:rPr>
        <w:instrText xml:space="preserve"> \f C \l 1 </w:instrText>
      </w:r>
      <w:r w:rsidR="00CB443E">
        <w:rPr>
          <w:rFonts w:ascii="方正仿宋_GBK" w:eastAsia="方正仿宋_GBK"/>
          <w:b/>
          <w:sz w:val="28"/>
        </w:rPr>
        <w:fldChar w:fldCharType="end"/>
      </w:r>
    </w:p>
    <w:p w:rsidR="00C5247D" w:rsidRDefault="00D17BAE">
      <w:pPr>
        <w:spacing w:line="14" w:lineRule="exact"/>
        <w:ind w:firstLineChars="200" w:firstLine="420"/>
        <w:jc w:val="center"/>
        <w:rPr>
          <w:rFonts w:ascii="Times New Roman" w:eastAsia="宋体" w:hAnsi="宋体"/>
        </w:rPr>
      </w:pPr>
      <w:r>
        <w:rPr>
          <w:rFonts w:ascii="方正书宋_GBK" w:eastAsia="方正书宋_GBK"/>
        </w:rPr>
        <w:t xml:space="preserve"> </w:t>
      </w:r>
    </w:p>
    <w:p w:rsidR="00C5247D" w:rsidRDefault="00C5247D" w:rsidP="002C250B">
      <w:pPr>
        <w:spacing w:line="300" w:lineRule="exact"/>
        <w:jc w:val="left"/>
        <w:sectPr w:rsidR="00C5247D">
          <w:pgSz w:w="16839" w:h="11907" w:orient="landscape"/>
          <w:pgMar w:top="1304" w:right="1984" w:bottom="1304" w:left="1134" w:header="851" w:footer="992" w:gutter="0"/>
          <w:cols w:space="425"/>
          <w:docGrid w:type="lines" w:linePitch="312"/>
        </w:sectPr>
      </w:pPr>
    </w:p>
    <w:p w:rsidR="00C5247D" w:rsidRDefault="00A7663F" w:rsidP="003A5D1A">
      <w:pPr>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1</w:t>
      </w:r>
      <w:r w:rsidR="00D17BAE">
        <w:rPr>
          <w:rFonts w:ascii="楷体_GB2312" w:eastAsia="楷体_GB2312" w:hAnsi="Times New Roman" w:cs="Times New Roman"/>
          <w:b/>
          <w:sz w:val="28"/>
        </w:rPr>
        <w:t>、产品质量检验检测经费绩效目标表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C5247D">
        <w:trPr>
          <w:cantSplit/>
          <w:trHeight w:val="397"/>
          <w:tblHeader/>
          <w:jc w:val="center"/>
        </w:trPr>
        <w:tc>
          <w:tcPr>
            <w:tcW w:w="2627"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绩效目标</w:t>
            </w:r>
          </w:p>
        </w:tc>
        <w:tc>
          <w:tcPr>
            <w:tcW w:w="11601" w:type="dxa"/>
            <w:gridSpan w:val="5"/>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1、通过项目开展，及时完成4批次以上年度检测任务，发放劳务人员18人劳务费，租用6辆抽检业务用车，达到业务抽检租用车辆质量达标率100%。</w:t>
            </w:r>
          </w:p>
          <w:p w:rsidR="00C5247D" w:rsidRDefault="00D17BAE">
            <w:pPr>
              <w:spacing w:line="300" w:lineRule="exact"/>
              <w:jc w:val="left"/>
              <w:rPr>
                <w:rFonts w:ascii="方正书宋_GBK" w:eastAsia="方正书宋_GBK"/>
              </w:rPr>
            </w:pPr>
            <w:r>
              <w:rPr>
                <w:rFonts w:ascii="方正书宋_GBK" w:eastAsia="方正书宋_GBK"/>
              </w:rPr>
              <w:t>2、通过开展此项目保证检测设备正常运转，检测结果差错率小于等于1%。为专业技术人员提供物质及能力提升保障。提升服务水平，提高被服务部门满意度。</w:t>
            </w:r>
          </w:p>
        </w:tc>
      </w:tr>
      <w:tr w:rsidR="00C5247D">
        <w:trPr>
          <w:cantSplit/>
          <w:trHeight w:val="397"/>
          <w:tblHeader/>
          <w:jc w:val="center"/>
        </w:trPr>
        <w:tc>
          <w:tcPr>
            <w:tcW w:w="2627"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二级指标</w:t>
            </w:r>
          </w:p>
        </w:tc>
        <w:tc>
          <w:tcPr>
            <w:tcW w:w="1985"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三级指标</w:t>
            </w:r>
          </w:p>
        </w:tc>
        <w:tc>
          <w:tcPr>
            <w:tcW w:w="3402"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绩效指标描述</w:t>
            </w:r>
          </w:p>
        </w:tc>
        <w:tc>
          <w:tcPr>
            <w:tcW w:w="1843"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指标值</w:t>
            </w:r>
          </w:p>
        </w:tc>
        <w:tc>
          <w:tcPr>
            <w:tcW w:w="2103"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指标值确定依据</w:t>
            </w:r>
          </w:p>
        </w:tc>
      </w:tr>
      <w:tr w:rsidR="00C5247D">
        <w:trPr>
          <w:cantSplit/>
          <w:trHeight w:val="369"/>
          <w:jc w:val="center"/>
        </w:trPr>
        <w:tc>
          <w:tcPr>
            <w:tcW w:w="2627" w:type="dxa"/>
            <w:vMerge w:val="restart"/>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年度检测任务的计划数</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考察全年检测任务监督抽查数量情况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4批次</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业务抽检租用车辆数量</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考察业务抽检租用车辆数量情况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6辆</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发放劳务费人数</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考察发放劳务费人数情况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18人</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业务抽检租用车辆质量达标率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考察业务抽检租用车辆质量达标情况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应尽应补率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考察发放劳务费应尽应补情况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部门工作情况</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技术水平质量达标率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考察聘用技术人员的技术水平、服务能力达标情况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检测结果差错率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考察检测结果差错情况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时效指标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任务完成的及时率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考察在规定时间内检测完成情况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成本指标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控制成本</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考察项目成本控制情况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257万元</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val="restart"/>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效果指标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社会效益指标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客户投诉率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考察客户投诉情况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社会效益指标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提高检验检测水平</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考察检验检测技术水平提高情况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提高</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可持续影响指标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档案管理机制健全性</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考察档案管理机制健全情况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健全</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档案管理机制</w:t>
            </w:r>
          </w:p>
        </w:tc>
      </w:tr>
      <w:tr w:rsidR="00C5247D">
        <w:trPr>
          <w:cantSplit/>
          <w:trHeight w:val="369"/>
          <w:jc w:val="center"/>
        </w:trPr>
        <w:tc>
          <w:tcPr>
            <w:tcW w:w="2627" w:type="dxa"/>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服务对象满意度指标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客户满意度</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考察客户满意情况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bl>
    <w:p w:rsidR="00C5247D" w:rsidRDefault="00C5247D">
      <w:pPr>
        <w:spacing w:line="300" w:lineRule="exact"/>
        <w:ind w:firstLineChars="200" w:firstLine="420"/>
        <w:jc w:val="left"/>
        <w:sectPr w:rsidR="00C5247D">
          <w:pgSz w:w="16839" w:h="11907" w:orient="landscape"/>
          <w:pgMar w:top="1304" w:right="1984" w:bottom="1304" w:left="1134" w:header="851" w:footer="992" w:gutter="0"/>
          <w:cols w:space="425"/>
          <w:docGrid w:type="lines" w:linePitch="312"/>
        </w:sectPr>
      </w:pPr>
    </w:p>
    <w:p w:rsidR="00C5247D" w:rsidRDefault="00A7663F">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2</w:t>
      </w:r>
      <w:r w:rsidR="00D17BAE">
        <w:rPr>
          <w:rFonts w:ascii="楷体_GB2312" w:eastAsia="楷体_GB2312" w:hAnsi="Times New Roman" w:cs="Times New Roman"/>
          <w:b/>
          <w:sz w:val="28"/>
        </w:rPr>
        <w:t>、电子信息中心综合运行费绩效目标表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C5247D">
        <w:trPr>
          <w:cantSplit/>
          <w:trHeight w:val="397"/>
          <w:tblHeader/>
          <w:jc w:val="center"/>
        </w:trPr>
        <w:tc>
          <w:tcPr>
            <w:tcW w:w="2627"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绩效目标</w:t>
            </w:r>
          </w:p>
        </w:tc>
        <w:tc>
          <w:tcPr>
            <w:tcW w:w="11601" w:type="dxa"/>
            <w:gridSpan w:val="5"/>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1、通过项目开展实现提高区域电子产品检测能力，扩大监测范围，检验结果准确率大于98%。及时完成2批次以上年度检测任务，客户满意度大于等于98%，准确发放大于等于20人的劳务费用。</w:t>
            </w:r>
          </w:p>
          <w:p w:rsidR="00C5247D" w:rsidRDefault="00D17BAE">
            <w:pPr>
              <w:spacing w:line="300" w:lineRule="exact"/>
              <w:jc w:val="left"/>
              <w:rPr>
                <w:rFonts w:ascii="方正书宋_GBK" w:eastAsia="方正书宋_GBK"/>
              </w:rPr>
            </w:pPr>
            <w:r>
              <w:rPr>
                <w:rFonts w:ascii="方正书宋_GBK" w:eastAsia="方正书宋_GBK"/>
              </w:rPr>
              <w:t>2、通过项目开展，确保中心四个检测室正常运转，为专业技术人员提供物质保障，检测设备定期检测，确保检测数据科学准确，按时完成政府部门下达的2020年检测计划。</w:t>
            </w:r>
          </w:p>
        </w:tc>
      </w:tr>
      <w:tr w:rsidR="00C5247D">
        <w:trPr>
          <w:cantSplit/>
          <w:trHeight w:val="397"/>
          <w:tblHeader/>
          <w:jc w:val="center"/>
        </w:trPr>
        <w:tc>
          <w:tcPr>
            <w:tcW w:w="2627"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二级指标</w:t>
            </w:r>
          </w:p>
        </w:tc>
        <w:tc>
          <w:tcPr>
            <w:tcW w:w="1985"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三级指标</w:t>
            </w:r>
          </w:p>
        </w:tc>
        <w:tc>
          <w:tcPr>
            <w:tcW w:w="3402"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绩效指标描述</w:t>
            </w:r>
          </w:p>
        </w:tc>
        <w:tc>
          <w:tcPr>
            <w:tcW w:w="1843"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指标值</w:t>
            </w:r>
          </w:p>
        </w:tc>
        <w:tc>
          <w:tcPr>
            <w:tcW w:w="2103"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指标值确定依据</w:t>
            </w:r>
          </w:p>
        </w:tc>
      </w:tr>
      <w:tr w:rsidR="00C5247D">
        <w:trPr>
          <w:cantSplit/>
          <w:trHeight w:val="369"/>
          <w:jc w:val="center"/>
        </w:trPr>
        <w:tc>
          <w:tcPr>
            <w:tcW w:w="2627" w:type="dxa"/>
            <w:vMerge w:val="restart"/>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年度检测任务的批次</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考察全年检测任务的批次情况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2批次</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发放劳务费人数</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考察发放劳务费人数情况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20人</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设备检定次数</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考察设备检定次数情况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1次</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《设备检定计划》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检测结果准确率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考察检测结果准确情况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&gt;98%</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购置材料验收通过率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考察购置材料验收通过情况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《验收记录》</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技术水平质量达标率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考察聘用技术人员的技术水平、服务能力达标情况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《部门职责和岗位职责》</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时效指标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任务完成的及时率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考察规定时间内完成检测计划或任务/按时出具检测数据情况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&gt;95%</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成本指标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控制总成本</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考察成本控制情况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225万元</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val="restart"/>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效果指标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社会效益指标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提高检验检测水平</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考察检验检测技术水平提高情况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提高</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可持续影响指标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档案管理机制健全性</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考察档案管理机制健全情况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健全</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服务对象满意度指标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客户满意度</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考察客户满意情况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《质量手册》</w:t>
            </w:r>
          </w:p>
        </w:tc>
      </w:tr>
    </w:tbl>
    <w:p w:rsidR="00C5247D" w:rsidRDefault="00C5247D">
      <w:pPr>
        <w:spacing w:line="300" w:lineRule="exact"/>
        <w:jc w:val="left"/>
        <w:sectPr w:rsidR="00C5247D">
          <w:pgSz w:w="16839" w:h="11907" w:orient="landscape"/>
          <w:pgMar w:top="1304" w:right="1984" w:bottom="1304" w:left="1134" w:header="851" w:footer="992" w:gutter="0"/>
          <w:cols w:space="425"/>
          <w:docGrid w:type="lines" w:linePitch="312"/>
        </w:sectPr>
      </w:pPr>
    </w:p>
    <w:p w:rsidR="00C5247D" w:rsidRDefault="00A7663F">
      <w:pPr>
        <w:ind w:firstLineChars="200" w:firstLine="562"/>
        <w:jc w:val="left"/>
        <w:outlineLvl w:val="1"/>
        <w:rPr>
          <w:rFonts w:ascii="楷体_GB2312" w:eastAsia="楷体_GB2312" w:hAnsi="Times New Roman" w:cs="Times New Roman"/>
          <w:b/>
          <w:sz w:val="28"/>
        </w:rPr>
      </w:pPr>
      <w:r>
        <w:rPr>
          <w:rFonts w:ascii="楷体_GB2312" w:eastAsia="楷体_GB2312" w:hAnsi="Times New Roman" w:cs="Times New Roman" w:hint="eastAsia"/>
          <w:b/>
          <w:sz w:val="28"/>
        </w:rPr>
        <w:lastRenderedPageBreak/>
        <w:t>3</w:t>
      </w:r>
      <w:r w:rsidR="00D17BAE">
        <w:rPr>
          <w:rFonts w:ascii="楷体_GB2312" w:eastAsia="楷体_GB2312" w:hAnsi="Times New Roman" w:cs="Times New Roman" w:hint="eastAsia"/>
          <w:b/>
          <w:sz w:val="28"/>
        </w:rPr>
        <w:t>、</w:t>
      </w:r>
      <w:r w:rsidR="00D17BAE">
        <w:rPr>
          <w:rFonts w:ascii="楷体_GB2312" w:eastAsia="楷体_GB2312" w:hAnsi="Times New Roman" w:cs="Times New Roman"/>
          <w:b/>
          <w:sz w:val="28"/>
        </w:rPr>
        <w:t>质量仪器设备购置经费绩效目标表</w:t>
      </w:r>
    </w:p>
    <w:tbl>
      <w:tblPr>
        <w:tblW w:w="142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7"/>
        <w:gridCol w:w="2268"/>
        <w:gridCol w:w="1985"/>
        <w:gridCol w:w="3402"/>
        <w:gridCol w:w="1843"/>
        <w:gridCol w:w="2103"/>
      </w:tblGrid>
      <w:tr w:rsidR="00C5247D">
        <w:trPr>
          <w:cantSplit/>
          <w:trHeight w:val="397"/>
          <w:tblHeader/>
          <w:jc w:val="center"/>
        </w:trPr>
        <w:tc>
          <w:tcPr>
            <w:tcW w:w="2627"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绩效目标</w:t>
            </w:r>
          </w:p>
        </w:tc>
        <w:tc>
          <w:tcPr>
            <w:tcW w:w="11601" w:type="dxa"/>
            <w:gridSpan w:val="5"/>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1、本项目从2019年10月开始安排，项目用于购置11台套专业检测设备，达到提升我单位个检测部门的检测能力目标。</w:t>
            </w:r>
          </w:p>
          <w:p w:rsidR="00C5247D" w:rsidRDefault="00D17BAE">
            <w:pPr>
              <w:spacing w:line="300" w:lineRule="exact"/>
              <w:jc w:val="left"/>
              <w:rPr>
                <w:rFonts w:ascii="方正书宋_GBK" w:eastAsia="方正书宋_GBK"/>
              </w:rPr>
            </w:pPr>
            <w:r>
              <w:rPr>
                <w:rFonts w:ascii="方正书宋_GBK" w:eastAsia="方正书宋_GBK"/>
              </w:rPr>
              <w:t>2、通过项目的实施及时完成采购设备11台套，采购设备全部产品验收通过率达到100%，招标程序合规率达到100%，达到提升检测能力的目标。</w:t>
            </w:r>
          </w:p>
        </w:tc>
      </w:tr>
      <w:tr w:rsidR="00C5247D">
        <w:trPr>
          <w:cantSplit/>
          <w:trHeight w:val="397"/>
          <w:tblHeader/>
          <w:jc w:val="center"/>
        </w:trPr>
        <w:tc>
          <w:tcPr>
            <w:tcW w:w="2627"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二级指标</w:t>
            </w:r>
          </w:p>
        </w:tc>
        <w:tc>
          <w:tcPr>
            <w:tcW w:w="1985"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三级指标</w:t>
            </w:r>
          </w:p>
        </w:tc>
        <w:tc>
          <w:tcPr>
            <w:tcW w:w="3402"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绩效指标描述</w:t>
            </w:r>
          </w:p>
        </w:tc>
        <w:tc>
          <w:tcPr>
            <w:tcW w:w="1843"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指标值</w:t>
            </w:r>
          </w:p>
        </w:tc>
        <w:tc>
          <w:tcPr>
            <w:tcW w:w="2103" w:type="dxa"/>
            <w:shd w:val="clear" w:color="auto" w:fill="auto"/>
            <w:vAlign w:val="center"/>
          </w:tcPr>
          <w:p w:rsidR="00C5247D" w:rsidRDefault="00D17BAE">
            <w:pPr>
              <w:spacing w:line="300" w:lineRule="exact"/>
              <w:jc w:val="center"/>
              <w:rPr>
                <w:rFonts w:ascii="方正书宋_GBK" w:eastAsia="方正书宋_GBK"/>
                <w:b/>
              </w:rPr>
            </w:pPr>
            <w:r>
              <w:rPr>
                <w:rFonts w:ascii="方正书宋_GBK" w:eastAsia="方正书宋_GBK"/>
                <w:b/>
              </w:rPr>
              <w:t>指标值确定依据</w:t>
            </w:r>
          </w:p>
        </w:tc>
      </w:tr>
      <w:tr w:rsidR="00C5247D">
        <w:trPr>
          <w:cantSplit/>
          <w:trHeight w:val="369"/>
          <w:jc w:val="center"/>
        </w:trPr>
        <w:tc>
          <w:tcPr>
            <w:tcW w:w="2627" w:type="dxa"/>
            <w:vMerge w:val="restart"/>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数量指标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购置设备的数量</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考察购置设备数量的情况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11台套</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设备购置的验收通过率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考察购置设备验收通过情况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《验收记录》</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质量指标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招标程序合规率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考察招标程序合格情况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《政府采购法》</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成本指标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成本控制</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考察成本控制情况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210万元</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时效指标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采购设备的及时率</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考察设备采购及时情况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100%</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val="restart"/>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效果指标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社会效益指标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提升检测能力</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考察检测能力提升情况</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提升</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r w:rsidR="00C5247D">
        <w:trPr>
          <w:cantSplit/>
          <w:trHeight w:val="369"/>
          <w:jc w:val="center"/>
        </w:trPr>
        <w:tc>
          <w:tcPr>
            <w:tcW w:w="2627" w:type="dxa"/>
            <w:vMerge/>
            <w:shd w:val="clear" w:color="auto" w:fill="auto"/>
            <w:vAlign w:val="center"/>
          </w:tcPr>
          <w:p w:rsidR="00C5247D" w:rsidRDefault="00C5247D">
            <w:pPr>
              <w:spacing w:line="300" w:lineRule="exact"/>
              <w:jc w:val="center"/>
              <w:rPr>
                <w:rFonts w:ascii="方正书宋_GBK" w:eastAsia="方正书宋_GBK"/>
              </w:rPr>
            </w:pP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可持续影响指标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设备维护机制健全性</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设备维护机制健全性</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健全</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设备维护机制</w:t>
            </w:r>
          </w:p>
        </w:tc>
      </w:tr>
      <w:tr w:rsidR="00C5247D">
        <w:trPr>
          <w:cantSplit/>
          <w:trHeight w:val="369"/>
          <w:jc w:val="center"/>
        </w:trPr>
        <w:tc>
          <w:tcPr>
            <w:tcW w:w="2627" w:type="dxa"/>
            <w:shd w:val="clear" w:color="auto" w:fill="auto"/>
            <w:vAlign w:val="center"/>
          </w:tcPr>
          <w:p w:rsidR="00C5247D" w:rsidRDefault="00D17BAE">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服务对象满意度指标</w:t>
            </w:r>
          </w:p>
        </w:tc>
        <w:tc>
          <w:tcPr>
            <w:tcW w:w="1985"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服务企业满意度</w:t>
            </w:r>
          </w:p>
        </w:tc>
        <w:tc>
          <w:tcPr>
            <w:tcW w:w="3402"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通过满意度调查表显示受益群体对工作活动认可率</w:t>
            </w:r>
          </w:p>
        </w:tc>
        <w:tc>
          <w:tcPr>
            <w:tcW w:w="184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w:t>
            </w:r>
            <w:r>
              <w:rPr>
                <w:rFonts w:ascii="方正书宋_GBK" w:eastAsia="方正书宋_GBK"/>
              </w:rPr>
              <w:t>98%</w:t>
            </w:r>
          </w:p>
        </w:tc>
        <w:tc>
          <w:tcPr>
            <w:tcW w:w="2103" w:type="dxa"/>
            <w:shd w:val="clear" w:color="auto" w:fill="auto"/>
            <w:vAlign w:val="center"/>
          </w:tcPr>
          <w:p w:rsidR="00C5247D" w:rsidRDefault="00D17BAE">
            <w:pPr>
              <w:spacing w:line="300" w:lineRule="exact"/>
              <w:jc w:val="left"/>
              <w:rPr>
                <w:rFonts w:ascii="方正书宋_GBK" w:eastAsia="方正书宋_GBK"/>
              </w:rPr>
            </w:pPr>
            <w:r>
              <w:rPr>
                <w:rFonts w:ascii="方正书宋_GBK" w:eastAsia="方正书宋_GBK"/>
              </w:rPr>
              <w:t>部门工作计划</w:t>
            </w:r>
          </w:p>
        </w:tc>
      </w:tr>
    </w:tbl>
    <w:p w:rsidR="00DD78B9" w:rsidRDefault="00DD78B9" w:rsidP="009A6A82">
      <w:pPr>
        <w:autoSpaceDE w:val="0"/>
        <w:autoSpaceDN w:val="0"/>
        <w:adjustRightInd w:val="0"/>
        <w:spacing w:line="584" w:lineRule="exact"/>
        <w:jc w:val="left"/>
        <w:rPr>
          <w:rFonts w:ascii="Times New Roman" w:eastAsia="黑体" w:hAnsi="黑体" w:cs="Times New Roman"/>
          <w:sz w:val="32"/>
          <w:szCs w:val="32"/>
        </w:rPr>
      </w:pPr>
    </w:p>
    <w:p w:rsidR="00DD78B9" w:rsidRDefault="00DD78B9" w:rsidP="009A6A82">
      <w:pPr>
        <w:autoSpaceDE w:val="0"/>
        <w:autoSpaceDN w:val="0"/>
        <w:adjustRightInd w:val="0"/>
        <w:spacing w:line="584" w:lineRule="exact"/>
        <w:jc w:val="left"/>
        <w:rPr>
          <w:rFonts w:ascii="Times New Roman" w:eastAsia="黑体" w:hAnsi="黑体" w:cs="Times New Roman"/>
          <w:sz w:val="32"/>
          <w:szCs w:val="32"/>
        </w:rPr>
      </w:pPr>
    </w:p>
    <w:p w:rsidR="00DD78B9" w:rsidRDefault="00DD78B9" w:rsidP="009A6A82">
      <w:pPr>
        <w:autoSpaceDE w:val="0"/>
        <w:autoSpaceDN w:val="0"/>
        <w:adjustRightInd w:val="0"/>
        <w:spacing w:line="584" w:lineRule="exact"/>
        <w:jc w:val="left"/>
        <w:rPr>
          <w:rFonts w:ascii="Times New Roman" w:eastAsia="黑体" w:hAnsi="黑体" w:cs="Times New Roman"/>
          <w:sz w:val="32"/>
          <w:szCs w:val="32"/>
        </w:rPr>
      </w:pPr>
    </w:p>
    <w:p w:rsidR="00DD78B9" w:rsidRDefault="00DD78B9" w:rsidP="009A6A82">
      <w:pPr>
        <w:autoSpaceDE w:val="0"/>
        <w:autoSpaceDN w:val="0"/>
        <w:adjustRightInd w:val="0"/>
        <w:spacing w:line="584" w:lineRule="exact"/>
        <w:jc w:val="left"/>
        <w:rPr>
          <w:rFonts w:ascii="Times New Roman" w:eastAsia="黑体" w:hAnsi="黑体" w:cs="Times New Roman"/>
          <w:sz w:val="32"/>
          <w:szCs w:val="32"/>
        </w:rPr>
      </w:pPr>
    </w:p>
    <w:p w:rsidR="00DD78B9" w:rsidRDefault="00DD78B9" w:rsidP="009A6A82">
      <w:pPr>
        <w:autoSpaceDE w:val="0"/>
        <w:autoSpaceDN w:val="0"/>
        <w:adjustRightInd w:val="0"/>
        <w:spacing w:line="584" w:lineRule="exact"/>
        <w:jc w:val="left"/>
        <w:rPr>
          <w:rFonts w:ascii="Times New Roman" w:eastAsia="黑体" w:hAnsi="黑体" w:cs="Times New Roman"/>
          <w:sz w:val="32"/>
          <w:szCs w:val="32"/>
        </w:rPr>
      </w:pPr>
    </w:p>
    <w:p w:rsidR="00C5247D" w:rsidRDefault="00D17BAE" w:rsidP="009A6A82">
      <w:pPr>
        <w:autoSpaceDE w:val="0"/>
        <w:autoSpaceDN w:val="0"/>
        <w:adjustRightInd w:val="0"/>
        <w:spacing w:line="584" w:lineRule="exact"/>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rsidR="00C5247D" w:rsidRDefault="00D17BAE">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20</w:t>
      </w:r>
      <w:r>
        <w:rPr>
          <w:rFonts w:ascii="Times New Roman" w:eastAsia="仿宋_GB2312" w:hAnsi="Times New Roman" w:cs="Times New Roman"/>
          <w:sz w:val="32"/>
          <w:szCs w:val="24"/>
        </w:rPr>
        <w:t>年，我部门安排政府采购预算</w:t>
      </w:r>
      <w:r w:rsidR="000466E4">
        <w:rPr>
          <w:rFonts w:ascii="Times New Roman" w:eastAsia="仿宋_GB2312" w:hAnsi="Times New Roman" w:cs="Times New Roman" w:hint="eastAsia"/>
          <w:sz w:val="32"/>
          <w:szCs w:val="24"/>
        </w:rPr>
        <w:t>415</w:t>
      </w:r>
      <w:r>
        <w:rPr>
          <w:rFonts w:ascii="Times New Roman" w:eastAsia="仿宋_GB2312" w:hAnsi="Times New Roman" w:cs="Times New Roman"/>
          <w:sz w:val="32"/>
          <w:szCs w:val="24"/>
        </w:rPr>
        <w:t>万元。具体内容见下表。</w:t>
      </w:r>
    </w:p>
    <w:p w:rsidR="00C5247D" w:rsidRDefault="00D17BAE">
      <w:pPr>
        <w:spacing w:line="584" w:lineRule="exact"/>
        <w:jc w:val="center"/>
        <w:outlineLvl w:val="0"/>
        <w:rPr>
          <w:rFonts w:ascii="Times New Roman" w:eastAsia="仿宋_GB2312" w:hAnsi="Times New Roman" w:cs="Times New Roman"/>
          <w:sz w:val="32"/>
        </w:rPr>
      </w:pPr>
      <w:bookmarkStart w:id="2" w:name="_Toc504489153"/>
      <w:bookmarkEnd w:id="1"/>
      <w:r>
        <w:rPr>
          <w:rFonts w:ascii="Times New Roman" w:eastAsia="仿宋_GB2312" w:hAnsi="Times New Roman" w:cs="Times New Roman"/>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90"/>
        <w:gridCol w:w="1043"/>
        <w:gridCol w:w="912"/>
        <w:gridCol w:w="1419"/>
        <w:gridCol w:w="702"/>
        <w:gridCol w:w="900"/>
        <w:gridCol w:w="929"/>
        <w:gridCol w:w="938"/>
        <w:gridCol w:w="938"/>
        <w:gridCol w:w="941"/>
        <w:gridCol w:w="775"/>
        <w:gridCol w:w="909"/>
        <w:gridCol w:w="915"/>
        <w:gridCol w:w="857"/>
      </w:tblGrid>
      <w:tr w:rsidR="00C5247D">
        <w:trPr>
          <w:tblHeader/>
          <w:jc w:val="center"/>
        </w:trPr>
        <w:tc>
          <w:tcPr>
            <w:tcW w:w="2847" w:type="pct"/>
            <w:gridSpan w:val="7"/>
            <w:tcBorders>
              <w:top w:val="single" w:sz="6" w:space="0" w:color="FFFFFF"/>
              <w:left w:val="single" w:sz="6" w:space="0" w:color="FFFFFF"/>
              <w:right w:val="single" w:sz="6" w:space="0" w:color="FFFFFF"/>
            </w:tcBorders>
            <w:shd w:val="clear" w:color="auto" w:fill="auto"/>
            <w:vAlign w:val="center"/>
          </w:tcPr>
          <w:p w:rsidR="00C5247D" w:rsidRDefault="00D17BAE" w:rsidP="005E7253">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243</w:t>
            </w:r>
            <w:r w:rsidR="00110D3A">
              <w:rPr>
                <w:rFonts w:ascii="Times New Roman" w:eastAsia="仿宋_GB2312" w:hAnsi="Times New Roman" w:cs="Times New Roman" w:hint="eastAsia"/>
                <w:sz w:val="24"/>
              </w:rPr>
              <w:t>003</w:t>
            </w:r>
            <w:r>
              <w:rPr>
                <w:rFonts w:ascii="Times New Roman" w:eastAsia="仿宋_GB2312" w:hAnsi="Times New Roman" w:cs="Times New Roman" w:hint="eastAsia"/>
                <w:sz w:val="24"/>
              </w:rPr>
              <w:t>廊坊市</w:t>
            </w:r>
            <w:r w:rsidR="005E7253">
              <w:rPr>
                <w:rFonts w:ascii="Times New Roman" w:eastAsia="仿宋_GB2312" w:hAnsi="Times New Roman" w:cs="Times New Roman" w:hint="eastAsia"/>
                <w:sz w:val="24"/>
              </w:rPr>
              <w:t>产品质量监督检验所</w:t>
            </w:r>
          </w:p>
        </w:tc>
        <w:tc>
          <w:tcPr>
            <w:tcW w:w="2153" w:type="pct"/>
            <w:gridSpan w:val="7"/>
            <w:tcBorders>
              <w:top w:val="single" w:sz="6" w:space="0" w:color="FFFFFF"/>
              <w:left w:val="single" w:sz="6" w:space="0" w:color="FFFFFF"/>
              <w:right w:val="single" w:sz="6" w:space="0" w:color="FFFFFF"/>
            </w:tcBorders>
            <w:shd w:val="clear" w:color="auto" w:fill="auto"/>
            <w:vAlign w:val="center"/>
          </w:tcPr>
          <w:p w:rsidR="00C5247D" w:rsidRDefault="00D17BAE">
            <w:pPr>
              <w:spacing w:line="584" w:lineRule="exact"/>
              <w:jc w:val="right"/>
              <w:rPr>
                <w:rFonts w:ascii="Times New Roman" w:eastAsia="仿宋_GB2312" w:hAnsi="Times New Roman" w:cs="Times New Roman"/>
                <w:sz w:val="24"/>
              </w:rPr>
            </w:pPr>
            <w:r>
              <w:rPr>
                <w:rFonts w:ascii="Times New Roman" w:eastAsia="仿宋_GB2312" w:hAnsi="Times New Roman" w:cs="Times New Roman"/>
                <w:sz w:val="24"/>
              </w:rPr>
              <w:t>单位：万元</w:t>
            </w:r>
          </w:p>
        </w:tc>
      </w:tr>
      <w:tr w:rsidR="00C5247D">
        <w:trPr>
          <w:tblHeader/>
          <w:jc w:val="center"/>
        </w:trPr>
        <w:tc>
          <w:tcPr>
            <w:tcW w:w="1178" w:type="pct"/>
            <w:gridSpan w:val="2"/>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313"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487"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241"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r>
              <w:rPr>
                <w:rFonts w:ascii="Times New Roman" w:eastAsia="仿宋_GB2312" w:hAnsi="Times New Roman" w:cs="Times New Roman"/>
                <w:b/>
              </w:rPr>
              <w:t xml:space="preserve">  </w:t>
            </w:r>
            <w:r>
              <w:rPr>
                <w:rFonts w:ascii="Times New Roman" w:eastAsia="仿宋_GB2312" w:hAnsi="Times New Roman" w:cs="Times New Roman"/>
                <w:b/>
              </w:rPr>
              <w:t>单位</w:t>
            </w:r>
          </w:p>
        </w:tc>
        <w:tc>
          <w:tcPr>
            <w:tcW w:w="309"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319"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2153" w:type="pct"/>
            <w:gridSpan w:val="7"/>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p>
        </w:tc>
      </w:tr>
      <w:tr w:rsidR="00C5247D">
        <w:trPr>
          <w:tblHeader/>
          <w:jc w:val="center"/>
        </w:trPr>
        <w:tc>
          <w:tcPr>
            <w:tcW w:w="820"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项目名称</w:t>
            </w:r>
          </w:p>
        </w:tc>
        <w:tc>
          <w:tcPr>
            <w:tcW w:w="358"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预算资金</w:t>
            </w:r>
          </w:p>
        </w:tc>
        <w:tc>
          <w:tcPr>
            <w:tcW w:w="313"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487"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241"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09"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19"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22"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总计</w:t>
            </w:r>
          </w:p>
        </w:tc>
        <w:tc>
          <w:tcPr>
            <w:tcW w:w="1537" w:type="pct"/>
            <w:gridSpan w:val="5"/>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当年部门预算安排资金</w:t>
            </w:r>
          </w:p>
        </w:tc>
        <w:tc>
          <w:tcPr>
            <w:tcW w:w="294" w:type="pct"/>
            <w:vMerge w:val="restar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其他渠道资金</w:t>
            </w:r>
          </w:p>
        </w:tc>
      </w:tr>
      <w:tr w:rsidR="00C5247D">
        <w:trPr>
          <w:tblHeader/>
          <w:jc w:val="center"/>
        </w:trPr>
        <w:tc>
          <w:tcPr>
            <w:tcW w:w="820"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58"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13"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487"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241"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09"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19"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22"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c>
          <w:tcPr>
            <w:tcW w:w="322" w:type="pc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323" w:type="pc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266" w:type="pc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312" w:type="pc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314" w:type="pc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其他来源收入</w:t>
            </w:r>
          </w:p>
        </w:tc>
        <w:tc>
          <w:tcPr>
            <w:tcW w:w="294" w:type="pct"/>
            <w:vMerge/>
            <w:shd w:val="clear" w:color="auto" w:fill="auto"/>
            <w:vAlign w:val="center"/>
          </w:tcPr>
          <w:p w:rsidR="00C5247D" w:rsidRDefault="00C5247D">
            <w:pPr>
              <w:spacing w:line="584" w:lineRule="exact"/>
              <w:jc w:val="left"/>
              <w:outlineLvl w:val="0"/>
              <w:rPr>
                <w:rFonts w:ascii="Times New Roman" w:eastAsia="仿宋_GB2312" w:hAnsi="Times New Roman" w:cs="Times New Roman"/>
              </w:rPr>
            </w:pPr>
          </w:p>
        </w:tc>
      </w:tr>
      <w:tr w:rsidR="00C5247D">
        <w:trPr>
          <w:jc w:val="center"/>
        </w:trPr>
        <w:tc>
          <w:tcPr>
            <w:tcW w:w="820" w:type="pct"/>
            <w:shd w:val="clear" w:color="auto" w:fill="auto"/>
            <w:vAlign w:val="center"/>
          </w:tcPr>
          <w:p w:rsidR="00C5247D" w:rsidRDefault="00D17BAE">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　计</w:t>
            </w:r>
          </w:p>
        </w:tc>
        <w:tc>
          <w:tcPr>
            <w:tcW w:w="358"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13" w:type="pct"/>
            <w:shd w:val="clear" w:color="auto" w:fill="auto"/>
            <w:vAlign w:val="center"/>
          </w:tcPr>
          <w:p w:rsidR="00C5247D" w:rsidRDefault="00C5247D">
            <w:pPr>
              <w:spacing w:line="584" w:lineRule="exact"/>
              <w:jc w:val="left"/>
              <w:rPr>
                <w:rFonts w:ascii="Times New Roman" w:eastAsia="仿宋_GB2312" w:hAnsi="Times New Roman" w:cs="Times New Roman"/>
                <w:b/>
              </w:rPr>
            </w:pPr>
          </w:p>
        </w:tc>
        <w:tc>
          <w:tcPr>
            <w:tcW w:w="487" w:type="pct"/>
            <w:shd w:val="clear" w:color="auto" w:fill="auto"/>
            <w:vAlign w:val="center"/>
          </w:tcPr>
          <w:p w:rsidR="00C5247D" w:rsidRDefault="00C5247D">
            <w:pPr>
              <w:spacing w:line="584" w:lineRule="exact"/>
              <w:jc w:val="left"/>
              <w:rPr>
                <w:rFonts w:ascii="Times New Roman" w:eastAsia="仿宋_GB2312" w:hAnsi="Times New Roman" w:cs="Times New Roman"/>
                <w:b/>
              </w:rPr>
            </w:pPr>
          </w:p>
        </w:tc>
        <w:tc>
          <w:tcPr>
            <w:tcW w:w="241" w:type="pct"/>
            <w:shd w:val="clear" w:color="auto" w:fill="auto"/>
            <w:vAlign w:val="center"/>
          </w:tcPr>
          <w:p w:rsidR="00C5247D" w:rsidRDefault="00C5247D">
            <w:pPr>
              <w:spacing w:line="584" w:lineRule="exact"/>
              <w:jc w:val="left"/>
              <w:rPr>
                <w:rFonts w:ascii="Times New Roman" w:eastAsia="仿宋_GB2312" w:hAnsi="Times New Roman" w:cs="Times New Roman"/>
                <w:b/>
              </w:rPr>
            </w:pPr>
          </w:p>
        </w:tc>
        <w:tc>
          <w:tcPr>
            <w:tcW w:w="309"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19"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22" w:type="pct"/>
            <w:shd w:val="clear" w:color="auto" w:fill="auto"/>
            <w:vAlign w:val="center"/>
          </w:tcPr>
          <w:p w:rsidR="00C5247D" w:rsidRDefault="000B7128">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415</w:t>
            </w:r>
          </w:p>
        </w:tc>
        <w:tc>
          <w:tcPr>
            <w:tcW w:w="322" w:type="pct"/>
            <w:shd w:val="clear" w:color="auto" w:fill="auto"/>
            <w:vAlign w:val="center"/>
          </w:tcPr>
          <w:p w:rsidR="00C5247D" w:rsidRDefault="000B7128">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415</w:t>
            </w:r>
          </w:p>
        </w:tc>
        <w:tc>
          <w:tcPr>
            <w:tcW w:w="323" w:type="pct"/>
            <w:shd w:val="clear" w:color="auto" w:fill="auto"/>
            <w:vAlign w:val="center"/>
          </w:tcPr>
          <w:p w:rsidR="00C5247D" w:rsidRDefault="000B7128">
            <w:pPr>
              <w:spacing w:line="584" w:lineRule="exact"/>
              <w:jc w:val="right"/>
              <w:rPr>
                <w:rFonts w:ascii="Times New Roman" w:eastAsia="仿宋_GB2312" w:hAnsi="Times New Roman" w:cs="Times New Roman"/>
                <w:b/>
              </w:rPr>
            </w:pPr>
            <w:r>
              <w:rPr>
                <w:rFonts w:ascii="Times New Roman" w:eastAsia="仿宋_GB2312" w:hAnsi="Times New Roman" w:cs="Times New Roman" w:hint="eastAsia"/>
                <w:b/>
              </w:rPr>
              <w:t>415</w:t>
            </w:r>
          </w:p>
        </w:tc>
        <w:tc>
          <w:tcPr>
            <w:tcW w:w="266"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12"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14"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294"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r>
      <w:tr w:rsidR="00C5247D">
        <w:trPr>
          <w:jc w:val="center"/>
        </w:trPr>
        <w:tc>
          <w:tcPr>
            <w:tcW w:w="820" w:type="pct"/>
            <w:shd w:val="clear" w:color="auto" w:fill="auto"/>
            <w:vAlign w:val="center"/>
          </w:tcPr>
          <w:p w:rsidR="00C5247D" w:rsidRDefault="00D17BAE">
            <w:pPr>
              <w:spacing w:line="584" w:lineRule="exact"/>
              <w:jc w:val="left"/>
              <w:rPr>
                <w:rFonts w:ascii="Times New Roman" w:eastAsia="仿宋_GB2312" w:hAnsi="Times New Roman" w:cs="Times New Roman"/>
                <w:b/>
              </w:rPr>
            </w:pPr>
            <w:r>
              <w:rPr>
                <w:rFonts w:ascii="Times New Roman" w:eastAsia="仿宋_GB2312" w:hAnsi="Times New Roman" w:cs="Times New Roman" w:hint="eastAsia"/>
              </w:rPr>
              <w:t>物业费</w:t>
            </w:r>
          </w:p>
        </w:tc>
        <w:tc>
          <w:tcPr>
            <w:tcW w:w="358" w:type="pct"/>
            <w:shd w:val="clear" w:color="auto" w:fill="auto"/>
            <w:vAlign w:val="center"/>
          </w:tcPr>
          <w:p w:rsidR="00C5247D" w:rsidRDefault="00DA3C30">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60</w:t>
            </w:r>
          </w:p>
        </w:tc>
        <w:tc>
          <w:tcPr>
            <w:tcW w:w="313"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物业管理服务</w:t>
            </w:r>
          </w:p>
        </w:tc>
        <w:tc>
          <w:tcPr>
            <w:tcW w:w="487" w:type="pct"/>
            <w:shd w:val="clear" w:color="auto" w:fill="auto"/>
            <w:vAlign w:val="center"/>
          </w:tcPr>
          <w:p w:rsidR="00C5247D" w:rsidRDefault="00D17BAE">
            <w:pPr>
              <w:spacing w:line="584" w:lineRule="exact"/>
              <w:jc w:val="left"/>
              <w:rPr>
                <w:rFonts w:ascii="Times New Roman" w:eastAsia="仿宋_GB2312" w:hAnsi="Times New Roman" w:cs="Times New Roman"/>
                <w:b/>
              </w:rPr>
            </w:pPr>
            <w:r>
              <w:rPr>
                <w:rFonts w:ascii="Times New Roman" w:eastAsia="仿宋_GB2312" w:hAnsi="Times New Roman" w:cs="Times New Roman" w:hint="eastAsia"/>
                <w:b/>
              </w:rPr>
              <w:t>C1204</w:t>
            </w:r>
          </w:p>
        </w:tc>
        <w:tc>
          <w:tcPr>
            <w:tcW w:w="241"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年</w:t>
            </w:r>
          </w:p>
        </w:tc>
        <w:tc>
          <w:tcPr>
            <w:tcW w:w="30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1.00</w:t>
            </w:r>
          </w:p>
        </w:tc>
        <w:tc>
          <w:tcPr>
            <w:tcW w:w="319" w:type="pct"/>
            <w:shd w:val="clear" w:color="auto" w:fill="auto"/>
            <w:vAlign w:val="center"/>
          </w:tcPr>
          <w:p w:rsidR="00C5247D" w:rsidRDefault="00DA3C30">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60</w:t>
            </w:r>
            <w:r w:rsidR="00D17BAE">
              <w:rPr>
                <w:rFonts w:ascii="Times New Roman" w:eastAsia="仿宋_GB2312" w:hAnsi="Times New Roman" w:cs="Times New Roman" w:hint="eastAsia"/>
              </w:rPr>
              <w:t>.00</w:t>
            </w:r>
          </w:p>
        </w:tc>
        <w:tc>
          <w:tcPr>
            <w:tcW w:w="322" w:type="pct"/>
            <w:shd w:val="clear" w:color="auto" w:fill="auto"/>
            <w:vAlign w:val="center"/>
          </w:tcPr>
          <w:p w:rsidR="00C5247D" w:rsidRDefault="00DA3C30">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60.</w:t>
            </w:r>
            <w:r w:rsidR="00D17BAE">
              <w:rPr>
                <w:rFonts w:ascii="Times New Roman" w:eastAsia="仿宋_GB2312" w:hAnsi="Times New Roman" w:cs="Times New Roman" w:hint="eastAsia"/>
              </w:rPr>
              <w:t>00</w:t>
            </w:r>
          </w:p>
        </w:tc>
        <w:tc>
          <w:tcPr>
            <w:tcW w:w="322" w:type="pct"/>
            <w:shd w:val="clear" w:color="auto" w:fill="auto"/>
            <w:vAlign w:val="center"/>
          </w:tcPr>
          <w:p w:rsidR="00C5247D" w:rsidRDefault="00DA3C30">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60</w:t>
            </w:r>
            <w:r w:rsidR="00D17BAE">
              <w:rPr>
                <w:rFonts w:ascii="Times New Roman" w:eastAsia="仿宋_GB2312" w:hAnsi="Times New Roman" w:cs="Times New Roman" w:hint="eastAsia"/>
              </w:rPr>
              <w:t>.00</w:t>
            </w:r>
          </w:p>
        </w:tc>
        <w:tc>
          <w:tcPr>
            <w:tcW w:w="323" w:type="pct"/>
            <w:shd w:val="clear" w:color="auto" w:fill="auto"/>
            <w:vAlign w:val="center"/>
          </w:tcPr>
          <w:p w:rsidR="00C5247D" w:rsidRDefault="00DA3C30">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60</w:t>
            </w:r>
            <w:r w:rsidR="00D17BAE">
              <w:rPr>
                <w:rFonts w:ascii="Times New Roman" w:eastAsia="仿宋_GB2312" w:hAnsi="Times New Roman" w:cs="Times New Roman" w:hint="eastAsia"/>
              </w:rPr>
              <w:t>.00</w:t>
            </w:r>
          </w:p>
        </w:tc>
        <w:tc>
          <w:tcPr>
            <w:tcW w:w="266"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12"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314"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c>
          <w:tcPr>
            <w:tcW w:w="294" w:type="pct"/>
            <w:shd w:val="clear" w:color="auto" w:fill="auto"/>
            <w:vAlign w:val="center"/>
          </w:tcPr>
          <w:p w:rsidR="00C5247D" w:rsidRDefault="00C5247D">
            <w:pPr>
              <w:spacing w:line="584" w:lineRule="exact"/>
              <w:jc w:val="right"/>
              <w:rPr>
                <w:rFonts w:ascii="Times New Roman" w:eastAsia="仿宋_GB2312" w:hAnsi="Times New Roman" w:cs="Times New Roman"/>
                <w:b/>
              </w:rPr>
            </w:pPr>
          </w:p>
        </w:tc>
      </w:tr>
      <w:tr w:rsidR="00C5247D">
        <w:trPr>
          <w:jc w:val="center"/>
        </w:trPr>
        <w:tc>
          <w:tcPr>
            <w:tcW w:w="820"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检验检测专用材料购置经费</w:t>
            </w:r>
          </w:p>
        </w:tc>
        <w:tc>
          <w:tcPr>
            <w:tcW w:w="358"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120.00</w:t>
            </w:r>
          </w:p>
        </w:tc>
        <w:tc>
          <w:tcPr>
            <w:tcW w:w="313"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其他化学制品</w:t>
            </w:r>
          </w:p>
        </w:tc>
        <w:tc>
          <w:tcPr>
            <w:tcW w:w="487"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A170199</w:t>
            </w:r>
          </w:p>
        </w:tc>
        <w:tc>
          <w:tcPr>
            <w:tcW w:w="241"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批次</w:t>
            </w:r>
          </w:p>
        </w:tc>
        <w:tc>
          <w:tcPr>
            <w:tcW w:w="30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1.00</w:t>
            </w:r>
          </w:p>
        </w:tc>
        <w:tc>
          <w:tcPr>
            <w:tcW w:w="31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120.00</w:t>
            </w:r>
          </w:p>
        </w:tc>
        <w:tc>
          <w:tcPr>
            <w:tcW w:w="322"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120.00</w:t>
            </w:r>
          </w:p>
        </w:tc>
        <w:tc>
          <w:tcPr>
            <w:tcW w:w="322"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120.00</w:t>
            </w:r>
          </w:p>
        </w:tc>
        <w:tc>
          <w:tcPr>
            <w:tcW w:w="323"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120.00</w:t>
            </w:r>
          </w:p>
        </w:tc>
        <w:tc>
          <w:tcPr>
            <w:tcW w:w="266"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312"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314"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294"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r>
      <w:tr w:rsidR="00C5247D">
        <w:trPr>
          <w:jc w:val="center"/>
        </w:trPr>
        <w:tc>
          <w:tcPr>
            <w:tcW w:w="820"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电子信息中心综合运行</w:t>
            </w:r>
            <w:r>
              <w:rPr>
                <w:rFonts w:ascii="Times New Roman" w:eastAsia="仿宋_GB2312" w:hAnsi="Times New Roman" w:cs="Times New Roman" w:hint="eastAsia"/>
              </w:rPr>
              <w:lastRenderedPageBreak/>
              <w:t>费</w:t>
            </w:r>
          </w:p>
        </w:tc>
        <w:tc>
          <w:tcPr>
            <w:tcW w:w="358"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lastRenderedPageBreak/>
              <w:t>225.00</w:t>
            </w:r>
          </w:p>
        </w:tc>
        <w:tc>
          <w:tcPr>
            <w:tcW w:w="313"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其他化</w:t>
            </w:r>
            <w:r>
              <w:rPr>
                <w:rFonts w:ascii="Times New Roman" w:eastAsia="仿宋_GB2312" w:hAnsi="Times New Roman" w:cs="Times New Roman" w:hint="eastAsia"/>
              </w:rPr>
              <w:lastRenderedPageBreak/>
              <w:t>学制品</w:t>
            </w:r>
          </w:p>
        </w:tc>
        <w:tc>
          <w:tcPr>
            <w:tcW w:w="487"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lastRenderedPageBreak/>
              <w:t>A170199</w:t>
            </w:r>
          </w:p>
        </w:tc>
        <w:tc>
          <w:tcPr>
            <w:tcW w:w="241"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批次</w:t>
            </w:r>
          </w:p>
        </w:tc>
        <w:tc>
          <w:tcPr>
            <w:tcW w:w="30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1.00</w:t>
            </w:r>
          </w:p>
        </w:tc>
        <w:tc>
          <w:tcPr>
            <w:tcW w:w="31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25.00</w:t>
            </w:r>
          </w:p>
        </w:tc>
        <w:tc>
          <w:tcPr>
            <w:tcW w:w="322"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25.00</w:t>
            </w:r>
          </w:p>
        </w:tc>
        <w:tc>
          <w:tcPr>
            <w:tcW w:w="322"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25.00</w:t>
            </w:r>
          </w:p>
        </w:tc>
        <w:tc>
          <w:tcPr>
            <w:tcW w:w="323"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25.00</w:t>
            </w:r>
          </w:p>
        </w:tc>
        <w:tc>
          <w:tcPr>
            <w:tcW w:w="266"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312"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314"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294"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r>
      <w:tr w:rsidR="00C5247D">
        <w:trPr>
          <w:jc w:val="center"/>
        </w:trPr>
        <w:tc>
          <w:tcPr>
            <w:tcW w:w="820"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lastRenderedPageBreak/>
              <w:t>质量仪器设备购置经费</w:t>
            </w:r>
          </w:p>
        </w:tc>
        <w:tc>
          <w:tcPr>
            <w:tcW w:w="358"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210.00</w:t>
            </w:r>
          </w:p>
        </w:tc>
        <w:tc>
          <w:tcPr>
            <w:tcW w:w="313"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其他专用仪器仪表</w:t>
            </w:r>
          </w:p>
        </w:tc>
        <w:tc>
          <w:tcPr>
            <w:tcW w:w="487"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A033499</w:t>
            </w:r>
          </w:p>
        </w:tc>
        <w:tc>
          <w:tcPr>
            <w:tcW w:w="241" w:type="pct"/>
            <w:shd w:val="clear" w:color="auto" w:fill="auto"/>
            <w:vAlign w:val="center"/>
          </w:tcPr>
          <w:p w:rsidR="00C5247D" w:rsidRDefault="00D17BAE">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台套</w:t>
            </w:r>
          </w:p>
        </w:tc>
        <w:tc>
          <w:tcPr>
            <w:tcW w:w="30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1.00</w:t>
            </w:r>
          </w:p>
        </w:tc>
        <w:tc>
          <w:tcPr>
            <w:tcW w:w="319"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210.00</w:t>
            </w:r>
          </w:p>
        </w:tc>
        <w:tc>
          <w:tcPr>
            <w:tcW w:w="322"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210.00</w:t>
            </w:r>
          </w:p>
        </w:tc>
        <w:tc>
          <w:tcPr>
            <w:tcW w:w="322"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210.00</w:t>
            </w:r>
          </w:p>
        </w:tc>
        <w:tc>
          <w:tcPr>
            <w:tcW w:w="323" w:type="pct"/>
            <w:shd w:val="clear" w:color="auto" w:fill="auto"/>
            <w:vAlign w:val="center"/>
          </w:tcPr>
          <w:p w:rsidR="00C5247D" w:rsidRDefault="00D17BAE">
            <w:pPr>
              <w:spacing w:line="584" w:lineRule="exact"/>
              <w:jc w:val="right"/>
              <w:rPr>
                <w:rFonts w:ascii="Times New Roman" w:eastAsia="仿宋_GB2312" w:hAnsi="Times New Roman" w:cs="Times New Roman"/>
              </w:rPr>
            </w:pPr>
            <w:r>
              <w:rPr>
                <w:rFonts w:ascii="Times New Roman" w:eastAsia="仿宋_GB2312" w:hAnsi="Times New Roman" w:cs="Times New Roman" w:hint="eastAsia"/>
              </w:rPr>
              <w:t>210.00</w:t>
            </w:r>
          </w:p>
        </w:tc>
        <w:tc>
          <w:tcPr>
            <w:tcW w:w="266"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312"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314"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c>
          <w:tcPr>
            <w:tcW w:w="294" w:type="pct"/>
            <w:shd w:val="clear" w:color="auto" w:fill="auto"/>
            <w:vAlign w:val="center"/>
          </w:tcPr>
          <w:p w:rsidR="00C5247D" w:rsidRDefault="00C5247D">
            <w:pPr>
              <w:spacing w:line="584" w:lineRule="exact"/>
              <w:jc w:val="right"/>
              <w:rPr>
                <w:rFonts w:ascii="Times New Roman" w:eastAsia="仿宋_GB2312" w:hAnsi="Times New Roman" w:cs="Times New Roman"/>
              </w:rPr>
            </w:pPr>
          </w:p>
        </w:tc>
      </w:tr>
    </w:tbl>
    <w:p w:rsidR="00C5247D" w:rsidRDefault="00C5247D">
      <w:pPr>
        <w:spacing w:line="584" w:lineRule="exact"/>
        <w:jc w:val="left"/>
        <w:outlineLvl w:val="0"/>
        <w:rPr>
          <w:rFonts w:ascii="Times New Roman" w:eastAsia="仿宋_GB2312" w:hAnsi="Times New Roman" w:cs="Times New Roman"/>
        </w:rPr>
        <w:sectPr w:rsidR="00C5247D">
          <w:footerReference w:type="default" r:id="rId7"/>
          <w:pgSz w:w="16839" w:h="11907" w:orient="landscape"/>
          <w:pgMar w:top="1361" w:right="1020" w:bottom="1361" w:left="1020" w:header="851" w:footer="992" w:gutter="0"/>
          <w:cols w:space="425"/>
          <w:docGrid w:type="lines" w:linePitch="312"/>
        </w:sectPr>
      </w:pPr>
    </w:p>
    <w:p w:rsidR="00C5247D" w:rsidRDefault="00D17BA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C5247D" w:rsidRDefault="00D17BAE">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市场监督管理局</w:t>
      </w:r>
      <w:r>
        <w:rPr>
          <w:rFonts w:ascii="Times New Roman" w:eastAsia="仿宋_GB2312" w:hAnsi="Times New Roman" w:cs="Times New Roman"/>
          <w:sz w:val="32"/>
          <w:szCs w:val="32"/>
        </w:rPr>
        <w:t>（含所属单位）上年末固定资产金额为</w:t>
      </w:r>
      <w:r w:rsidR="00FE70DE">
        <w:rPr>
          <w:rFonts w:ascii="Times New Roman" w:eastAsia="仿宋_GB2312" w:hAnsi="Times New Roman" w:cs="Times New Roman" w:hint="eastAsia"/>
          <w:sz w:val="32"/>
          <w:szCs w:val="32"/>
        </w:rPr>
        <w:t>6481.25</w:t>
      </w:r>
      <w:r>
        <w:rPr>
          <w:rFonts w:ascii="Times New Roman" w:eastAsia="仿宋_GB2312" w:hAnsi="Times New Roman" w:cs="Times New Roman"/>
          <w:sz w:val="32"/>
          <w:szCs w:val="32"/>
        </w:rPr>
        <w:t>万元，本年度我部门拟购置固定资产</w:t>
      </w:r>
      <w:r>
        <w:rPr>
          <w:rFonts w:ascii="Times New Roman" w:eastAsia="仿宋_GB2312" w:hAnsi="Times New Roman" w:cs="Times New Roman" w:hint="eastAsia"/>
          <w:sz w:val="32"/>
          <w:szCs w:val="32"/>
        </w:rPr>
        <w:t>总额为</w:t>
      </w:r>
      <w:r w:rsidR="002C250B">
        <w:rPr>
          <w:rFonts w:ascii="Times New Roman" w:eastAsia="仿宋_GB2312" w:hAnsi="Times New Roman" w:cs="Times New Roman" w:hint="eastAsia"/>
          <w:sz w:val="32"/>
          <w:szCs w:val="32"/>
        </w:rPr>
        <w:t>210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质量仪器专用设备</w:t>
      </w:r>
      <w:r>
        <w:rPr>
          <w:rFonts w:ascii="Times New Roman" w:eastAsia="仿宋_GB2312" w:hAnsi="Times New Roman" w:cs="Times New Roman"/>
          <w:sz w:val="32"/>
          <w:szCs w:val="32"/>
        </w:rPr>
        <w:t>，已列入政府采购预算。详见下表。</w:t>
      </w:r>
    </w:p>
    <w:p w:rsidR="00C5247D" w:rsidRDefault="00C5247D">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C5247D">
        <w:trPr>
          <w:trHeight w:val="705"/>
        </w:trPr>
        <w:tc>
          <w:tcPr>
            <w:tcW w:w="13482" w:type="dxa"/>
            <w:gridSpan w:val="3"/>
            <w:tcBorders>
              <w:top w:val="nil"/>
              <w:left w:val="nil"/>
              <w:bottom w:val="nil"/>
              <w:right w:val="nil"/>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C5247D">
        <w:trPr>
          <w:trHeight w:val="510"/>
        </w:trPr>
        <w:tc>
          <w:tcPr>
            <w:tcW w:w="8379" w:type="dxa"/>
            <w:gridSpan w:val="2"/>
            <w:tcBorders>
              <w:top w:val="nil"/>
              <w:left w:val="nil"/>
              <w:bottom w:val="nil"/>
              <w:right w:val="nil"/>
            </w:tcBorders>
            <w:shd w:val="clear" w:color="auto" w:fill="auto"/>
            <w:noWrap/>
            <w:vAlign w:val="center"/>
          </w:tcPr>
          <w:p w:rsidR="00C5247D" w:rsidRDefault="00D17BAE">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市场监督管理局</w:t>
            </w:r>
          </w:p>
        </w:tc>
        <w:tc>
          <w:tcPr>
            <w:tcW w:w="5103" w:type="dxa"/>
            <w:tcBorders>
              <w:top w:val="nil"/>
              <w:left w:val="nil"/>
              <w:bottom w:val="nil"/>
              <w:right w:val="nil"/>
            </w:tcBorders>
            <w:shd w:val="clear" w:color="auto" w:fill="auto"/>
            <w:noWrap/>
            <w:vAlign w:val="center"/>
          </w:tcPr>
          <w:p w:rsidR="00C5247D" w:rsidRDefault="00D17BAE">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201</w:t>
            </w:r>
            <w:r>
              <w:rPr>
                <w:rFonts w:ascii="Times New Roman" w:eastAsia="仿宋_GB2312" w:hAnsi="Times New Roman" w:cs="Times New Roman" w:hint="eastAsia"/>
                <w:kern w:val="0"/>
                <w:sz w:val="22"/>
              </w:rPr>
              <w:t>9</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C5247D">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C5247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C5247D" w:rsidRDefault="00D17BAE">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C5247D" w:rsidRDefault="002C250B">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6481.25</w:t>
            </w:r>
          </w:p>
        </w:tc>
      </w:tr>
      <w:tr w:rsidR="00C5247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r>
      <w:tr w:rsidR="00C5247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r>
      <w:tr w:rsidR="00C5247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C5247D" w:rsidRDefault="002C250B">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w:t>
            </w:r>
          </w:p>
        </w:tc>
        <w:tc>
          <w:tcPr>
            <w:tcW w:w="5103" w:type="dxa"/>
            <w:tcBorders>
              <w:top w:val="nil"/>
              <w:left w:val="nil"/>
              <w:bottom w:val="single" w:sz="4" w:space="0" w:color="auto"/>
              <w:right w:val="single" w:sz="4" w:space="0" w:color="auto"/>
            </w:tcBorders>
            <w:shd w:val="clear" w:color="auto" w:fill="auto"/>
            <w:noWrap/>
            <w:vAlign w:val="center"/>
          </w:tcPr>
          <w:p w:rsidR="00C5247D" w:rsidRDefault="002C250B">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17.77</w:t>
            </w:r>
          </w:p>
        </w:tc>
      </w:tr>
      <w:tr w:rsidR="00C5247D">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C5247D" w:rsidRDefault="00D17BA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r>
      <w:tr w:rsidR="00C5247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C5247D" w:rsidRDefault="00D17BAE">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C5247D" w:rsidRDefault="00C5247D">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C5247D" w:rsidRDefault="00BE0952">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6463.48</w:t>
            </w:r>
          </w:p>
        </w:tc>
      </w:tr>
    </w:tbl>
    <w:p w:rsidR="00C5247D" w:rsidRDefault="00D17BA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C5247D" w:rsidRDefault="00D17BAE">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w:t>
      </w:r>
      <w:r>
        <w:rPr>
          <w:rFonts w:ascii="Times New Roman" w:eastAsia="仿宋_GB2312" w:hAnsi="Times New Roman" w:cs="Times New Roman"/>
          <w:sz w:val="32"/>
          <w:szCs w:val="32"/>
        </w:rPr>
        <w:lastRenderedPageBreak/>
        <w:t>用房取暖费、办公用房物业管理费、公务用车运行维护费以及其他费用。</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C5247D" w:rsidRDefault="00D17BAE">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C5247D" w:rsidRDefault="00D17BAE">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C5247D" w:rsidRDefault="00D17BAE">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p w:rsidR="00C5247D" w:rsidRDefault="00C5247D">
      <w:pPr>
        <w:spacing w:line="584" w:lineRule="exact"/>
        <w:rPr>
          <w:rFonts w:ascii="Times New Roman" w:eastAsia="仿宋_GB2312" w:hAnsi="Times New Roman" w:cs="Times New Roman"/>
          <w:sz w:val="32"/>
          <w:szCs w:val="32"/>
        </w:rPr>
      </w:pPr>
    </w:p>
    <w:p w:rsidR="00C5247D" w:rsidRDefault="00C5247D"/>
    <w:sectPr w:rsidR="00C5247D" w:rsidSect="00C5247D">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4A5" w:rsidRDefault="00C054A5" w:rsidP="00C5247D">
      <w:r>
        <w:separator/>
      </w:r>
    </w:p>
  </w:endnote>
  <w:endnote w:type="continuationSeparator" w:id="1">
    <w:p w:rsidR="00C054A5" w:rsidRDefault="00C054A5" w:rsidP="00C52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SimSun-ExtB"/>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_GBK">
    <w:altName w:val="SimSun-ExtB"/>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sdtPr>
    <w:sdtContent>
      <w:p w:rsidR="00D17BAE" w:rsidRDefault="00D17BAE">
        <w:pPr>
          <w:pStyle w:val="a4"/>
          <w:jc w:val="center"/>
        </w:pPr>
        <w:r>
          <w:rPr>
            <w:rFonts w:hint="eastAsia"/>
          </w:rPr>
          <w:t>-</w:t>
        </w:r>
        <w:r w:rsidR="00CB443E" w:rsidRPr="00CB443E">
          <w:fldChar w:fldCharType="begin"/>
        </w:r>
        <w:r>
          <w:instrText>PAGE   \* MERGEFORMAT</w:instrText>
        </w:r>
        <w:r w:rsidR="00CB443E" w:rsidRPr="00CB443E">
          <w:fldChar w:fldCharType="separate"/>
        </w:r>
        <w:r w:rsidR="00CD5DE3" w:rsidRPr="00CD5DE3">
          <w:rPr>
            <w:noProof/>
            <w:lang w:val="zh-CN"/>
          </w:rPr>
          <w:t>13</w:t>
        </w:r>
        <w:r w:rsidR="00CB443E">
          <w:rPr>
            <w:lang w:val="zh-CN"/>
          </w:rPr>
          <w:fldChar w:fldCharType="end"/>
        </w:r>
        <w:r>
          <w:rPr>
            <w:rFonts w:hint="eastAsia"/>
          </w:rPr>
          <w:t>-</w:t>
        </w:r>
      </w:p>
    </w:sdtContent>
  </w:sdt>
  <w:p w:rsidR="00D17BAE" w:rsidRDefault="00D17B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4A5" w:rsidRDefault="00C054A5" w:rsidP="00C5247D">
      <w:r>
        <w:separator/>
      </w:r>
    </w:p>
  </w:footnote>
  <w:footnote w:type="continuationSeparator" w:id="1">
    <w:p w:rsidR="00C054A5" w:rsidRDefault="00C054A5" w:rsidP="00C52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B2C"/>
    <w:rsid w:val="00014A98"/>
    <w:rsid w:val="000466E4"/>
    <w:rsid w:val="00063A6E"/>
    <w:rsid w:val="00066997"/>
    <w:rsid w:val="00072969"/>
    <w:rsid w:val="00074C58"/>
    <w:rsid w:val="00080892"/>
    <w:rsid w:val="00086414"/>
    <w:rsid w:val="00087672"/>
    <w:rsid w:val="000A3CD8"/>
    <w:rsid w:val="000B7128"/>
    <w:rsid w:val="000B72CB"/>
    <w:rsid w:val="000D06F3"/>
    <w:rsid w:val="000D2D9F"/>
    <w:rsid w:val="000D5F6E"/>
    <w:rsid w:val="000E6FCD"/>
    <w:rsid w:val="000F1429"/>
    <w:rsid w:val="000F3F49"/>
    <w:rsid w:val="001048BF"/>
    <w:rsid w:val="00110D3A"/>
    <w:rsid w:val="00112911"/>
    <w:rsid w:val="00134F7E"/>
    <w:rsid w:val="001514A2"/>
    <w:rsid w:val="001536D7"/>
    <w:rsid w:val="00157E20"/>
    <w:rsid w:val="001707C6"/>
    <w:rsid w:val="0018140C"/>
    <w:rsid w:val="0018566F"/>
    <w:rsid w:val="001B62AA"/>
    <w:rsid w:val="001C1410"/>
    <w:rsid w:val="001C75E8"/>
    <w:rsid w:val="001D3E08"/>
    <w:rsid w:val="001F4D7F"/>
    <w:rsid w:val="001F678B"/>
    <w:rsid w:val="00203348"/>
    <w:rsid w:val="002112EC"/>
    <w:rsid w:val="00216816"/>
    <w:rsid w:val="00236FEE"/>
    <w:rsid w:val="002538AB"/>
    <w:rsid w:val="00261541"/>
    <w:rsid w:val="00286AE5"/>
    <w:rsid w:val="002C250B"/>
    <w:rsid w:val="002C5215"/>
    <w:rsid w:val="002C6E93"/>
    <w:rsid w:val="002D4367"/>
    <w:rsid w:val="002D6668"/>
    <w:rsid w:val="002E75B7"/>
    <w:rsid w:val="00302C1C"/>
    <w:rsid w:val="0032323A"/>
    <w:rsid w:val="003346DE"/>
    <w:rsid w:val="003407A3"/>
    <w:rsid w:val="00356775"/>
    <w:rsid w:val="003A5D1A"/>
    <w:rsid w:val="003E02A2"/>
    <w:rsid w:val="003E245A"/>
    <w:rsid w:val="0041198B"/>
    <w:rsid w:val="0044119F"/>
    <w:rsid w:val="00465C4C"/>
    <w:rsid w:val="00482529"/>
    <w:rsid w:val="00487050"/>
    <w:rsid w:val="00487A59"/>
    <w:rsid w:val="004A11FC"/>
    <w:rsid w:val="004C21D9"/>
    <w:rsid w:val="004F29C3"/>
    <w:rsid w:val="0051605A"/>
    <w:rsid w:val="00522445"/>
    <w:rsid w:val="00563560"/>
    <w:rsid w:val="00580EEC"/>
    <w:rsid w:val="00584A90"/>
    <w:rsid w:val="00585BA1"/>
    <w:rsid w:val="00586365"/>
    <w:rsid w:val="005A0302"/>
    <w:rsid w:val="005E3BE9"/>
    <w:rsid w:val="005E5823"/>
    <w:rsid w:val="005E7253"/>
    <w:rsid w:val="00644797"/>
    <w:rsid w:val="00650448"/>
    <w:rsid w:val="0067239C"/>
    <w:rsid w:val="00672ACE"/>
    <w:rsid w:val="00684A82"/>
    <w:rsid w:val="00690E5F"/>
    <w:rsid w:val="00691B97"/>
    <w:rsid w:val="006B0881"/>
    <w:rsid w:val="006B2D0C"/>
    <w:rsid w:val="006C37D5"/>
    <w:rsid w:val="00702554"/>
    <w:rsid w:val="00710FBB"/>
    <w:rsid w:val="007143A3"/>
    <w:rsid w:val="007347B8"/>
    <w:rsid w:val="0074540B"/>
    <w:rsid w:val="00746D0D"/>
    <w:rsid w:val="00770BCF"/>
    <w:rsid w:val="00776336"/>
    <w:rsid w:val="007770D4"/>
    <w:rsid w:val="00780C1F"/>
    <w:rsid w:val="00784C7F"/>
    <w:rsid w:val="00792BB7"/>
    <w:rsid w:val="007A15B5"/>
    <w:rsid w:val="007B3868"/>
    <w:rsid w:val="007C41AC"/>
    <w:rsid w:val="007C5BFB"/>
    <w:rsid w:val="007C6D51"/>
    <w:rsid w:val="007D1A26"/>
    <w:rsid w:val="007D689D"/>
    <w:rsid w:val="007E2F37"/>
    <w:rsid w:val="007E5355"/>
    <w:rsid w:val="007F21E2"/>
    <w:rsid w:val="00806678"/>
    <w:rsid w:val="008069ED"/>
    <w:rsid w:val="00822E66"/>
    <w:rsid w:val="00823582"/>
    <w:rsid w:val="008305D1"/>
    <w:rsid w:val="00854B14"/>
    <w:rsid w:val="00857BBA"/>
    <w:rsid w:val="00861ECC"/>
    <w:rsid w:val="00877B2E"/>
    <w:rsid w:val="00882138"/>
    <w:rsid w:val="00883252"/>
    <w:rsid w:val="00896A3E"/>
    <w:rsid w:val="008B6007"/>
    <w:rsid w:val="008C209C"/>
    <w:rsid w:val="008D669D"/>
    <w:rsid w:val="008F492F"/>
    <w:rsid w:val="008F62D8"/>
    <w:rsid w:val="009461D1"/>
    <w:rsid w:val="00955A78"/>
    <w:rsid w:val="00987D7E"/>
    <w:rsid w:val="009951DD"/>
    <w:rsid w:val="00995410"/>
    <w:rsid w:val="009A6A82"/>
    <w:rsid w:val="009A783A"/>
    <w:rsid w:val="009B1B95"/>
    <w:rsid w:val="009B45E9"/>
    <w:rsid w:val="009F3205"/>
    <w:rsid w:val="009F3BF5"/>
    <w:rsid w:val="00A01DEE"/>
    <w:rsid w:val="00A15752"/>
    <w:rsid w:val="00A25CC5"/>
    <w:rsid w:val="00A34E01"/>
    <w:rsid w:val="00A4350B"/>
    <w:rsid w:val="00A461DA"/>
    <w:rsid w:val="00A7663F"/>
    <w:rsid w:val="00A86568"/>
    <w:rsid w:val="00A94D45"/>
    <w:rsid w:val="00AC195F"/>
    <w:rsid w:val="00AC21FA"/>
    <w:rsid w:val="00AC7DB9"/>
    <w:rsid w:val="00AF1105"/>
    <w:rsid w:val="00AF2B5E"/>
    <w:rsid w:val="00AF3D8E"/>
    <w:rsid w:val="00AF5221"/>
    <w:rsid w:val="00B02C09"/>
    <w:rsid w:val="00B23CDF"/>
    <w:rsid w:val="00B36728"/>
    <w:rsid w:val="00B64783"/>
    <w:rsid w:val="00B80B2C"/>
    <w:rsid w:val="00BA0A12"/>
    <w:rsid w:val="00BA50E8"/>
    <w:rsid w:val="00BD15FA"/>
    <w:rsid w:val="00BD5F3C"/>
    <w:rsid w:val="00BE0952"/>
    <w:rsid w:val="00BF393B"/>
    <w:rsid w:val="00BF6C1D"/>
    <w:rsid w:val="00C054A5"/>
    <w:rsid w:val="00C10EFA"/>
    <w:rsid w:val="00C124F8"/>
    <w:rsid w:val="00C17A26"/>
    <w:rsid w:val="00C5247D"/>
    <w:rsid w:val="00C53014"/>
    <w:rsid w:val="00C67D18"/>
    <w:rsid w:val="00CB2A63"/>
    <w:rsid w:val="00CB443E"/>
    <w:rsid w:val="00CD5DE3"/>
    <w:rsid w:val="00CD702C"/>
    <w:rsid w:val="00CF076D"/>
    <w:rsid w:val="00D129E3"/>
    <w:rsid w:val="00D17BAE"/>
    <w:rsid w:val="00D42EDC"/>
    <w:rsid w:val="00D5007D"/>
    <w:rsid w:val="00D503E5"/>
    <w:rsid w:val="00D53D7F"/>
    <w:rsid w:val="00D70336"/>
    <w:rsid w:val="00D8494A"/>
    <w:rsid w:val="00D9109B"/>
    <w:rsid w:val="00DA3C30"/>
    <w:rsid w:val="00DB6DCF"/>
    <w:rsid w:val="00DD37B8"/>
    <w:rsid w:val="00DD3A76"/>
    <w:rsid w:val="00DD4BA3"/>
    <w:rsid w:val="00DD78B9"/>
    <w:rsid w:val="00DE064F"/>
    <w:rsid w:val="00DE2E14"/>
    <w:rsid w:val="00DE7414"/>
    <w:rsid w:val="00DF66E3"/>
    <w:rsid w:val="00E015FF"/>
    <w:rsid w:val="00E05292"/>
    <w:rsid w:val="00E206D4"/>
    <w:rsid w:val="00E43411"/>
    <w:rsid w:val="00E5264B"/>
    <w:rsid w:val="00E61CE2"/>
    <w:rsid w:val="00EB7FB7"/>
    <w:rsid w:val="00EC3884"/>
    <w:rsid w:val="00ED195A"/>
    <w:rsid w:val="00EE1796"/>
    <w:rsid w:val="00EF6DA5"/>
    <w:rsid w:val="00EF7425"/>
    <w:rsid w:val="00F001CA"/>
    <w:rsid w:val="00F115B6"/>
    <w:rsid w:val="00F14CF2"/>
    <w:rsid w:val="00F27325"/>
    <w:rsid w:val="00F746ED"/>
    <w:rsid w:val="00FA60CA"/>
    <w:rsid w:val="00FA6FC5"/>
    <w:rsid w:val="00FB5800"/>
    <w:rsid w:val="00FD1E9A"/>
    <w:rsid w:val="00FD6F3B"/>
    <w:rsid w:val="00FE70DE"/>
    <w:rsid w:val="03753092"/>
    <w:rsid w:val="059737B9"/>
    <w:rsid w:val="06627B04"/>
    <w:rsid w:val="109D2F33"/>
    <w:rsid w:val="15B52F06"/>
    <w:rsid w:val="163A4014"/>
    <w:rsid w:val="16B33527"/>
    <w:rsid w:val="1AB84EA7"/>
    <w:rsid w:val="1D175470"/>
    <w:rsid w:val="1DF10788"/>
    <w:rsid w:val="1E9D3CAD"/>
    <w:rsid w:val="1EA93C21"/>
    <w:rsid w:val="20416A00"/>
    <w:rsid w:val="217B29A2"/>
    <w:rsid w:val="2C3E6CCC"/>
    <w:rsid w:val="2CD44FED"/>
    <w:rsid w:val="2E181852"/>
    <w:rsid w:val="340F082F"/>
    <w:rsid w:val="360D42E1"/>
    <w:rsid w:val="37B42D79"/>
    <w:rsid w:val="38BC6045"/>
    <w:rsid w:val="3A6A380C"/>
    <w:rsid w:val="3AA172DF"/>
    <w:rsid w:val="3C3B0B77"/>
    <w:rsid w:val="42031DF5"/>
    <w:rsid w:val="4227062F"/>
    <w:rsid w:val="478B5E36"/>
    <w:rsid w:val="48AD4A93"/>
    <w:rsid w:val="4DB26405"/>
    <w:rsid w:val="4DBD6782"/>
    <w:rsid w:val="4F10143E"/>
    <w:rsid w:val="4FEC6F17"/>
    <w:rsid w:val="541B64FF"/>
    <w:rsid w:val="59E24744"/>
    <w:rsid w:val="5BBB1609"/>
    <w:rsid w:val="6037556F"/>
    <w:rsid w:val="6C2F3B8B"/>
    <w:rsid w:val="6D4B717F"/>
    <w:rsid w:val="6E2E0DB2"/>
    <w:rsid w:val="724E5B12"/>
    <w:rsid w:val="73CD10FC"/>
    <w:rsid w:val="769D7B50"/>
    <w:rsid w:val="793F6E34"/>
    <w:rsid w:val="7BE1400C"/>
    <w:rsid w:val="7C584866"/>
    <w:rsid w:val="7EEF1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247D"/>
    <w:rPr>
      <w:sz w:val="18"/>
      <w:szCs w:val="18"/>
    </w:rPr>
  </w:style>
  <w:style w:type="paragraph" w:styleId="a4">
    <w:name w:val="footer"/>
    <w:basedOn w:val="a"/>
    <w:link w:val="Char0"/>
    <w:uiPriority w:val="99"/>
    <w:qFormat/>
    <w:rsid w:val="00C5247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rsid w:val="00C5247D"/>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character" w:customStyle="1" w:styleId="Char0">
    <w:name w:val="页脚 Char"/>
    <w:basedOn w:val="a0"/>
    <w:link w:val="a4"/>
    <w:uiPriority w:val="99"/>
    <w:qFormat/>
    <w:rsid w:val="00C5247D"/>
    <w:rPr>
      <w:rFonts w:ascii="Times New Roman" w:eastAsia="宋体" w:hAnsi="Times New Roman" w:cs="Times New Roman"/>
      <w:sz w:val="18"/>
      <w:szCs w:val="18"/>
    </w:rPr>
  </w:style>
  <w:style w:type="character" w:customStyle="1" w:styleId="Char10">
    <w:name w:val="页眉 Char1"/>
    <w:link w:val="a5"/>
    <w:uiPriority w:val="99"/>
    <w:qFormat/>
    <w:rsid w:val="00C5247D"/>
    <w:rPr>
      <w:rFonts w:ascii="等线" w:eastAsia="等线" w:hAnsi="等线" w:cs="Times New Roman"/>
      <w:sz w:val="18"/>
      <w:szCs w:val="18"/>
    </w:rPr>
  </w:style>
  <w:style w:type="character" w:customStyle="1" w:styleId="Char1">
    <w:name w:val="页眉 Char"/>
    <w:basedOn w:val="a0"/>
    <w:link w:val="a5"/>
    <w:uiPriority w:val="99"/>
    <w:semiHidden/>
    <w:qFormat/>
    <w:rsid w:val="00C5247D"/>
    <w:rPr>
      <w:sz w:val="18"/>
      <w:szCs w:val="18"/>
    </w:rPr>
  </w:style>
  <w:style w:type="character" w:customStyle="1" w:styleId="Char">
    <w:name w:val="批注框文本 Char"/>
    <w:basedOn w:val="a0"/>
    <w:link w:val="a3"/>
    <w:uiPriority w:val="99"/>
    <w:semiHidden/>
    <w:qFormat/>
    <w:rsid w:val="00C5247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赵宏</dc:creator>
  <cp:lastModifiedBy>admin</cp:lastModifiedBy>
  <cp:revision>54</cp:revision>
  <dcterms:created xsi:type="dcterms:W3CDTF">2020-01-21T06:49:00Z</dcterms:created>
  <dcterms:modified xsi:type="dcterms:W3CDTF">2020-01-21T03:44:00Z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