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4" w:lineRule="exact"/>
        <w:ind w:firstLine="880" w:firstLineChars="200"/>
        <w:jc w:val="center"/>
        <w:rPr>
          <w:rFonts w:ascii="方正小标宋_GBK" w:hAnsi="Times New Roman" w:eastAsia="方正小标宋_GBK" w:cs="Times New Roman"/>
          <w:sz w:val="44"/>
          <w:szCs w:val="44"/>
        </w:rPr>
      </w:pPr>
      <w:r>
        <w:rPr>
          <w:rFonts w:hint="eastAsia" w:ascii="方正小标宋_GBK" w:hAnsi="Times New Roman" w:eastAsia="方正小标宋_GBK" w:cs="Times New Roman"/>
          <w:sz w:val="44"/>
          <w:szCs w:val="44"/>
        </w:rPr>
        <w:t>廊坊市市场监督管理局2020年部门预算信息公开情况说明</w:t>
      </w:r>
    </w:p>
    <w:p>
      <w:pPr>
        <w:spacing w:line="584" w:lineRule="exact"/>
        <w:ind w:firstLine="880" w:firstLineChars="200"/>
        <w:jc w:val="center"/>
        <w:rPr>
          <w:rFonts w:ascii="Times New Roman" w:hAnsi="Times New Roman" w:eastAsia="仿宋_GB2312" w:cs="Times New Roman"/>
          <w:sz w:val="44"/>
          <w:szCs w:val="44"/>
        </w:rPr>
      </w:pP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按照《预算法》、《地方预决算公开操作规程》和《河北省省级预算公开办法》规定，现将廊坊市</w:t>
      </w:r>
      <w:r>
        <w:rPr>
          <w:rFonts w:hint="eastAsia" w:ascii="Times New Roman" w:hAnsi="Times New Roman" w:eastAsia="方正仿宋_GBK" w:cs="Times New Roman"/>
          <w:sz w:val="32"/>
          <w:szCs w:val="32"/>
        </w:rPr>
        <w:t>市场监督管理局</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年部门预算公开如下：</w:t>
      </w:r>
    </w:p>
    <w:p>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一、部门职责及机构设置情况</w:t>
      </w:r>
    </w:p>
    <w:p>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负责全市市场综合监督管理。贯彻落实市场监督管理和药品监督管理有关法律法规规章，起草相关地方规范性文件，制定有关政策、标准，组织实施质量强市战略、食品安全战略、标准化战略、知识产权战略，拟订并组织实施有关规划，规范和维护市场秩序，营造诚实守信、公平竞争的市场环境。</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2、负责全市外国（地区）企业常驻代表机构等各类外资市场主体的登记注册工作。建立市场主体信息公示和共享机制，依法公示和共享有关信息，加强信用监管，推动市场主体信用体系建设。</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3、负责组织和指导全市市场监管综合执法工作。负责全市市场监管综合执法队伍整合和建设，推动实行统一的市场监管。组织查处重大违法案件。规范市场监管行政执法行为。</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负责反垄断统一执法。组织推进竞争政策实施，指导实施公平竞争审查制度。依法对经营者集中行为进行反垄断审查，负责垄断协议、滥用市场支配地位和滥用行政权力排除、限制竞争等反垄断执法工作。指导企业在国外的反垄断应诉工作。</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负责监督管理市场秩序。依法监督管理全市市场交易、网络商品交易及有关服务的行为。组织指导查处价格收费违法违规、不正当竞争、违法直销、传销、侵犯商标专利知识产权和制售假冒伪劣行为。指导全市广告业发展，监督管理广告活动。组织指导查处无照生产经营和相关无证生产经营行为。指导市消费者协会开展消费维权工作。</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负责全市宏观质量管理。拟订并实施全市质量发展的制度措施。统筹全市质量基础设施建设与应用，会同有关部门组织实施重大工程设备质量监理制度，组织重大质量事故调查，组织实施缺陷产品召回制度，监督管理产品防伪工作。</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7、负责全市产品质量安全监督管理。承担市级产品质量安全风险监控、监督抽查工作。组织实施质量分级制度、质量安全追溯制度。实施工业产品生产许可管理。负责纤维质量监督工作。</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8、负责全市特种设备安全监督管理。综合管理特种设备安全监察、监督管理工作，监督检查高耗能特种设备节能标准和锅炉环境保护标准的执行情况。</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9、负责食品安全监督管理综合协调。组织制定全市食品安全重大政策并组织实施。推动健全食品安全地方党政同责和跨部门协调联动机制。负责食品安全应急体系建设，组织指导全市重大食品安全事件应急处置和调查处理工作。建立健全食品安全信息统一公布和重要信息直报制度。承担廊坊市食品安全委员会日常工作。</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负责食品安全监督管理。建立覆盖食品生产、流通、消费全过程的监督检查制度和隐患排查治理机制并组织实施。防范区域性、系统性食品安全风险。推动建立食品生产经营者落实主体责任的机制，健全食品安全追溯体系。参与食品安全风险监测，组织开展食品安全监督抽检、核查处置和风险预警、风险交流工作。按规定组织实施特殊食品监督管理。组织指导重大活动食品安全保障。</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11、负责药品（含中药、民族药，下同）、医疗器械和化妆品安全监督管理。贯彻执行国家和省药品、医疗器械和化妆品法律法规以及鼓励药品、医疗器械和化妆品新技术新产品的管理与服务政策。负责监督实施国家药品、医疗器械、化妆品标准，参与制定完善中药材地方标准，组织落实分类管理制度。配合实施国家基本药物制度。</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12、负责药品、医疗器械和化妆品质量管理工作。按规定监督实施国家研制、生产质量管理规范，监督和指导实施经营、使用质量管理规范。组织实施中药材生产质量管理规范、中药饮片炮制规范。依法实施中药品种保护制度。</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13、负责药品、医疗器械和化妆品上市后风险管理。建立健全全市药品不良反应、医疗器械不良事件、化妆品不良反应和药物滥用监测体系，并开展监测、评价和处置工作。依法承担药品、医疗器械和化妆品安全应急管理工作。</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14、负责组织指导药品、医疗器械和化妆品监督检查。贯彻落实国家和省检查制度，负责查处药品零售、医疗器械经营、化妆品经营和药品、医疗器械使用环节的违法行为，按规定指导县级查处相关违法行为，规范行政执法行为。</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15、组织开展药品、医疗器械和化妆品安全宣传、教育培训、国际交流与合作。推进诚信体系建设。</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16、负责指导县级药品监督管理工作。推动落实药品、医疗器械和化妆品安全企业主体责任，监督县级履行党政同责，组织实施药品、医疗器械和化妆品安全考核。</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17、推进全市药品、医疗器械和化妆品安全监管信息化建设。负责制定药品、医疗器械和化妆品的安全科技发展规划并组织实施，推动检验检测体系、电子监管追溯体系和信息化建设。完善全市药品、医疗器械和化妆品安全信息统一公布制度和重大信息直报制度，公布重大安全信息。</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18、负责统一管理全市计量工作。推行法定计量单位和国家计量制度，管理计量器具及量值传递和比对工作。规范、监督商品量和市场计量行为。</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19、负责统一管理全市标准化工作。依法承担组织制定市级地方标准。宣传贯彻强制性、推荐性国家标准和行业标准、地方标准。依法协调指导和监督团体标准、企业标准制定工作。组织开展标准化国际、区域合作和参与制定、采用国际标准工作。</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20、负责统一管理全市检验检测工作。推进检验检测机构整合和改革，规范检验检测市场，完善检验检测体系，指导协调检验检测行业发展。</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21、负责统一管理、监督和协调全市认证认可工作。组织贯彻实施国家统一的认证认可和合格评定监督管理制度。</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22、负责推进全市知识产权管理工作。拟订加强知识产权强市建设的重大方针政策和发展规划。拟订和实施强化知识产权创造、保护和运用的政策和制度。</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23、负责保护知识产权。组织起草严格保护商标、专利、原产地地理标志、集成电路布图设计等相关地方规范性文件并监督实施。按照国家和省知识产权保护体系建设方案，推动建设知识产权保护体系。负责商标、专利执法工作，负责知识产权争议处理、维权援助和纠纷调处，指导县级开展相关工作。参与、协调京津冀知识产权执法协作工作。</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24、负责促进知识产权运用工作。拟订知识产权运用和规范交易的政策，促进知识产权转移转化。规范知识产权无形资产评估工作。负责知识产权中介服务发展与监管的政策措施。</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25、负责建立知识产权公共服务体系。建设便企利民、互联互通的全市知识产权信息公共服务平台，推动商标、专利等知识产权信息的传播利用。指导县级开展专利信息服务工作。</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26、按规定承担国家知识产权局知识产权代办工作任务。组织实施原产地地理标志统一认定制度。</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27、负责全市市场监督管理科技和信息化建设、新闻宣传、对外交流与合作。按规定承担技术性贸易措施有关工作。负责统筹协调涉外知识产权事宜，按规定承担知识产权对外转让审查工作。</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28、完成市委、市政府交办的其他任务。</w:t>
      </w:r>
    </w:p>
    <w:p>
      <w:pPr>
        <w:spacing w:line="584" w:lineRule="exact"/>
        <w:ind w:firstLine="643" w:firstLineChars="20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转变职能</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大力推进质量提升。加强全面质量管理和全市质量基础设施体系建设，完善质量激励制度，推进品牌建设。组织实施企业产品质量安全事故强制报告制度及经营者首问和赔偿先付制度，创新第三方质量评价，强化生产经营者主体责任，推广先进的质量管理方法。全面实施企业产品与服务标准自我声明公开和监督制度，培育发展技术先进的团体标准，对标国际国内提高市内标准整体水平，以标准化促进质量强市建设。</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深入推进简政放权。</w:t>
      </w:r>
      <w:r>
        <w:rPr>
          <w:rFonts w:hint="eastAsia" w:ascii="Times New Roman" w:hAnsi="Times New Roman" w:eastAsia="仿宋_GB2312" w:cs="Times New Roman"/>
          <w:sz w:val="32"/>
          <w:szCs w:val="32"/>
        </w:rPr>
        <w:t>贯彻落实上级市场监管部门和药品监管部门推进简政放权相关政策。深化商事制度改革，改革企业名称核准、市场主体退出等制度，深化“证照分离”改革，推动“照后减证”。</w:t>
      </w:r>
      <w:r>
        <w:rPr>
          <w:rFonts w:ascii="Times New Roman" w:hAnsi="Times New Roman" w:eastAsia="仿宋_GB2312" w:cs="Times New Roman"/>
          <w:sz w:val="32"/>
          <w:szCs w:val="32"/>
        </w:rPr>
        <w:t>加快检验检测机构市场化社会化改革。进一步减少评比达标、认定奖励、示范创建等活动，减少行政审批事项，</w:t>
      </w:r>
      <w:r>
        <w:rPr>
          <w:rFonts w:hint="eastAsia" w:ascii="Times New Roman" w:hAnsi="Times New Roman" w:eastAsia="仿宋_GB2312" w:cs="Times New Roman"/>
          <w:sz w:val="32"/>
          <w:szCs w:val="32"/>
        </w:rPr>
        <w:t>落实</w:t>
      </w:r>
      <w:r>
        <w:rPr>
          <w:rFonts w:ascii="Times New Roman" w:hAnsi="Times New Roman" w:eastAsia="仿宋_GB2312" w:cs="Times New Roman"/>
          <w:sz w:val="32"/>
          <w:szCs w:val="32"/>
        </w:rPr>
        <w:t>工业产品生产许可证大幅压减的承接工作，促进优化营商环境。贯彻落实国家进一步放宽知识产权服务业准入相关政策，扩大专利代理领域开放，大力培育知识产权品牌服务机构，改善服务质量。</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严守安全底线。遵循“最严谨的标准、最严格的监管、最严厉的处罚、最严肃的问责”要求，依法加强食品药品安全、工业产品质量安全、特种设备安全监管，强化现场检查，严惩违法违规行为，有效防范系统性风险，让人民群众买得放心、用得放心、吃得放心。</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加强事中事后监管。加快清理废除妨碍全国统一市场和公平竞争的各种规定和做法，加强反垄断、反不正当竞争统一执法。加强对商标抢注、非正常专利申请等行为的信用监管，规范商标注册和专利申请行为，维护权利人合法权益。强化依据标准监管，强化风险管理，全面推行“双随机、一公开”和“互联网十监管”，加快推进监管信息共享，构建以信息公示为手段、以信用监管为核心的新型市场监管体系。贯彻执行药品、医疗器械全生命周期管理制度，强化全过程质量安全风险管理，创新监管方式，加强信用监管，提高监管效能，满足新时代公众用药用器械需求。根据廊坊实际，按照依法合规的原则，将适合属地管理的药品、医疗器械管理职责，逐步依法下放至县级市场监督管理部门。</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提高服务水平。加快整合消费者投诉、质量监督举报、食品药品投诉、知识产权投诉、价格举报专线。加快知识产权信息公共服务平台建设。推进外资市场主体准入到退出全过程便利化，主动服务新技术新产业新业态新模式发展，运用大数据加强对市场主体服务，促进大众创业、万众创新。</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促进京津冀知识产权协同发展。强化京津冀执法协作，促进京津冀一体化知识产权保护体系建设。推进京津冀产业知识产权联盟建设，促进京津冀知识产权转化。加强知识产权服务机构培育，促进京津冀优质知识产权服务资源向廊坊转移。</w:t>
      </w:r>
    </w:p>
    <w:p>
      <w:pPr>
        <w:spacing w:line="584" w:lineRule="exact"/>
        <w:ind w:firstLine="660"/>
        <w:rPr>
          <w:rFonts w:ascii="Times New Roman" w:hAnsi="Times New Roman" w:eastAsia="仿宋_GB2312" w:cs="Times New Roman"/>
          <w:sz w:val="32"/>
          <w:szCs w:val="32"/>
        </w:rPr>
      </w:pPr>
    </w:p>
    <w:p>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5"/>
        <w:tblW w:w="1009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324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3241"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pPr>
              <w:spacing w:line="584" w:lineRule="exact"/>
              <w:jc w:val="left"/>
              <w:outlineLvl w:val="0"/>
              <w:rPr>
                <w:rFonts w:ascii="Times New Roman" w:hAnsi="Times New Roman" w:eastAsia="仿宋_GB2312" w:cs="Times New Roman"/>
                <w:szCs w:val="24"/>
              </w:rPr>
            </w:pPr>
          </w:p>
        </w:tc>
        <w:tc>
          <w:tcPr>
            <w:tcW w:w="3241" w:type="dxa"/>
            <w:vMerge w:val="continue"/>
            <w:shd w:val="clear" w:color="auto" w:fill="auto"/>
            <w:vAlign w:val="center"/>
          </w:tcPr>
          <w:p>
            <w:pPr>
              <w:spacing w:line="584" w:lineRule="exact"/>
              <w:jc w:val="left"/>
              <w:outlineLvl w:val="0"/>
              <w:rPr>
                <w:rFonts w:ascii="Times New Roman" w:hAnsi="Times New Roman" w:eastAsia="仿宋_GB2312" w:cs="Times New Roman"/>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84"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廊坊市市场监督管理局（本级）</w:t>
            </w:r>
          </w:p>
        </w:tc>
        <w:tc>
          <w:tcPr>
            <w:tcW w:w="1134" w:type="dxa"/>
            <w:shd w:val="clear" w:color="auto" w:fill="auto"/>
            <w:vAlign w:val="center"/>
          </w:tcPr>
          <w:p>
            <w:pPr>
              <w:spacing w:line="584" w:lineRule="exact"/>
              <w:jc w:val="center"/>
              <w:rPr>
                <w:rFonts w:ascii="Times New Roman" w:hAnsi="Times New Roman" w:eastAsia="仿宋_GB2312" w:cs="Times New Roman"/>
                <w:szCs w:val="21"/>
              </w:rPr>
            </w:pPr>
            <w:r>
              <w:rPr>
                <w:rFonts w:ascii="Times New Roman" w:hAnsi="Times New Roman" w:eastAsia="仿宋_GB2312" w:cs="Times New Roman"/>
                <w:szCs w:val="21"/>
              </w:rPr>
              <w:t>行政</w:t>
            </w:r>
          </w:p>
        </w:tc>
        <w:tc>
          <w:tcPr>
            <w:tcW w:w="1276" w:type="dxa"/>
            <w:shd w:val="clear" w:color="auto" w:fill="auto"/>
            <w:vAlign w:val="center"/>
          </w:tcPr>
          <w:p>
            <w:pPr>
              <w:spacing w:line="584"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正处级</w:t>
            </w:r>
          </w:p>
        </w:tc>
        <w:tc>
          <w:tcPr>
            <w:tcW w:w="3241" w:type="dxa"/>
            <w:shd w:val="clear" w:color="auto" w:fill="auto"/>
            <w:vAlign w:val="center"/>
          </w:tcPr>
          <w:p>
            <w:pPr>
              <w:spacing w:line="584" w:lineRule="exact"/>
              <w:jc w:val="center"/>
              <w:rPr>
                <w:rFonts w:ascii="Times New Roman" w:hAnsi="Times New Roman" w:eastAsia="仿宋_GB2312" w:cs="Times New Roman"/>
                <w:szCs w:val="21"/>
              </w:rPr>
            </w:pPr>
            <w:r>
              <w:rPr>
                <w:rFonts w:ascii="Times New Roman" w:hAnsi="Times New Roman" w:eastAsia="仿宋_GB2312" w:cs="Times New Roman"/>
                <w:szCs w:val="21"/>
              </w:rPr>
              <w:t>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84"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廊坊市产品质量监督检验所</w:t>
            </w:r>
          </w:p>
        </w:tc>
        <w:tc>
          <w:tcPr>
            <w:tcW w:w="1134" w:type="dxa"/>
            <w:shd w:val="clear" w:color="auto" w:fill="auto"/>
            <w:vAlign w:val="center"/>
          </w:tcPr>
          <w:p>
            <w:pPr>
              <w:spacing w:line="584"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事业</w:t>
            </w:r>
          </w:p>
        </w:tc>
        <w:tc>
          <w:tcPr>
            <w:tcW w:w="1276" w:type="dxa"/>
            <w:shd w:val="clear" w:color="auto" w:fill="auto"/>
            <w:vAlign w:val="center"/>
          </w:tcPr>
          <w:p>
            <w:pPr>
              <w:spacing w:line="584" w:lineRule="exact"/>
              <w:jc w:val="center"/>
              <w:rPr>
                <w:rFonts w:ascii="Times New Roman" w:hAnsi="Times New Roman" w:eastAsia="仿宋_GB2312" w:cs="Times New Roman"/>
                <w:szCs w:val="21"/>
              </w:rPr>
            </w:pPr>
            <w:r>
              <w:rPr>
                <w:rFonts w:ascii="Times New Roman" w:hAnsi="Times New Roman" w:eastAsia="仿宋_GB2312" w:cs="Times New Roman"/>
                <w:szCs w:val="21"/>
              </w:rPr>
              <w:t>正科级</w:t>
            </w:r>
          </w:p>
        </w:tc>
        <w:tc>
          <w:tcPr>
            <w:tcW w:w="3241" w:type="dxa"/>
            <w:shd w:val="clear" w:color="auto" w:fill="auto"/>
            <w:vAlign w:val="center"/>
          </w:tcPr>
          <w:p>
            <w:pPr>
              <w:spacing w:line="584" w:lineRule="exact"/>
              <w:jc w:val="center"/>
              <w:rPr>
                <w:rFonts w:ascii="Times New Roman" w:hAnsi="Times New Roman" w:eastAsia="仿宋_GB2312" w:cs="Times New Roman"/>
                <w:szCs w:val="21"/>
              </w:rPr>
            </w:pPr>
            <w:r>
              <w:rPr>
                <w:rFonts w:ascii="Times New Roman" w:hAnsi="Times New Roman" w:eastAsia="仿宋_GB2312" w:cs="Times New Roman"/>
                <w:szCs w:val="21"/>
              </w:rPr>
              <w:t>财政性资金基本保证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84"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廊坊市纤维检验所</w:t>
            </w:r>
          </w:p>
        </w:tc>
        <w:tc>
          <w:tcPr>
            <w:tcW w:w="1134" w:type="dxa"/>
            <w:shd w:val="clear" w:color="auto" w:fill="auto"/>
            <w:vAlign w:val="center"/>
          </w:tcPr>
          <w:p>
            <w:pPr>
              <w:spacing w:line="584"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事业</w:t>
            </w:r>
          </w:p>
        </w:tc>
        <w:tc>
          <w:tcPr>
            <w:tcW w:w="1276" w:type="dxa"/>
            <w:shd w:val="clear" w:color="auto" w:fill="auto"/>
            <w:vAlign w:val="center"/>
          </w:tcPr>
          <w:p>
            <w:pPr>
              <w:spacing w:line="584" w:lineRule="exact"/>
              <w:jc w:val="center"/>
              <w:rPr>
                <w:rFonts w:ascii="Times New Roman" w:hAnsi="Times New Roman" w:eastAsia="仿宋_GB2312" w:cs="Times New Roman"/>
                <w:szCs w:val="21"/>
              </w:rPr>
            </w:pPr>
            <w:r>
              <w:rPr>
                <w:rFonts w:ascii="Times New Roman" w:hAnsi="Times New Roman" w:eastAsia="仿宋_GB2312" w:cs="Times New Roman"/>
                <w:szCs w:val="21"/>
              </w:rPr>
              <w:t>正科级</w:t>
            </w:r>
          </w:p>
        </w:tc>
        <w:tc>
          <w:tcPr>
            <w:tcW w:w="3241" w:type="dxa"/>
            <w:shd w:val="clear" w:color="auto" w:fill="auto"/>
            <w:vAlign w:val="center"/>
          </w:tcPr>
          <w:p>
            <w:pPr>
              <w:spacing w:line="584" w:lineRule="exact"/>
              <w:jc w:val="center"/>
              <w:rPr>
                <w:rFonts w:ascii="Times New Roman" w:hAnsi="Times New Roman" w:eastAsia="仿宋_GB2312" w:cs="Times New Roman"/>
                <w:szCs w:val="21"/>
              </w:rPr>
            </w:pPr>
            <w:r>
              <w:rPr>
                <w:rFonts w:ascii="Times New Roman" w:hAnsi="Times New Roman" w:eastAsia="仿宋_GB2312" w:cs="Times New Roman"/>
                <w:szCs w:val="21"/>
              </w:rPr>
              <w:t>财政性资金基本保证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84"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廊坊市标准化所</w:t>
            </w:r>
          </w:p>
        </w:tc>
        <w:tc>
          <w:tcPr>
            <w:tcW w:w="1134" w:type="dxa"/>
            <w:shd w:val="clear" w:color="auto" w:fill="auto"/>
            <w:vAlign w:val="center"/>
          </w:tcPr>
          <w:p>
            <w:pPr>
              <w:spacing w:line="584"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事业</w:t>
            </w:r>
          </w:p>
        </w:tc>
        <w:tc>
          <w:tcPr>
            <w:tcW w:w="1276" w:type="dxa"/>
            <w:shd w:val="clear" w:color="auto" w:fill="auto"/>
            <w:vAlign w:val="center"/>
          </w:tcPr>
          <w:p>
            <w:pPr>
              <w:spacing w:line="584" w:lineRule="exact"/>
              <w:jc w:val="center"/>
              <w:rPr>
                <w:rFonts w:ascii="Times New Roman" w:hAnsi="Times New Roman" w:eastAsia="仿宋_GB2312" w:cs="Times New Roman"/>
                <w:szCs w:val="21"/>
              </w:rPr>
            </w:pPr>
            <w:r>
              <w:rPr>
                <w:rFonts w:ascii="Times New Roman" w:hAnsi="Times New Roman" w:eastAsia="仿宋_GB2312" w:cs="Times New Roman"/>
                <w:szCs w:val="21"/>
              </w:rPr>
              <w:t>正科级</w:t>
            </w:r>
          </w:p>
        </w:tc>
        <w:tc>
          <w:tcPr>
            <w:tcW w:w="3241" w:type="dxa"/>
            <w:shd w:val="clear" w:color="auto" w:fill="auto"/>
            <w:vAlign w:val="center"/>
          </w:tcPr>
          <w:p>
            <w:pPr>
              <w:spacing w:line="584" w:lineRule="exact"/>
              <w:jc w:val="center"/>
              <w:rPr>
                <w:rFonts w:ascii="Times New Roman" w:hAnsi="Times New Roman" w:eastAsia="仿宋_GB2312" w:cs="Times New Roman"/>
                <w:szCs w:val="21"/>
              </w:rPr>
            </w:pPr>
            <w:r>
              <w:rPr>
                <w:rFonts w:ascii="Times New Roman" w:hAnsi="Times New Roman" w:eastAsia="仿宋_GB2312" w:cs="Times New Roman"/>
                <w:szCs w:val="21"/>
              </w:rPr>
              <w:t>财政性资金基本保证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84" w:lineRule="exact"/>
              <w:jc w:val="left"/>
              <w:rPr>
                <w:rFonts w:ascii="Times New Roman" w:hAnsi="Times New Roman" w:eastAsia="仿宋_GB2312" w:cs="Times New Roman"/>
                <w:szCs w:val="21"/>
              </w:rPr>
            </w:pPr>
            <w:r>
              <w:rPr>
                <w:rFonts w:hint="eastAsia" w:ascii="Times New Roman" w:hAnsi="Times New Roman" w:eastAsia="仿宋_GB2312" w:cs="Times New Roman"/>
                <w:szCs w:val="21"/>
              </w:rPr>
              <w:t>廊坊市食品检验所</w:t>
            </w:r>
          </w:p>
        </w:tc>
        <w:tc>
          <w:tcPr>
            <w:tcW w:w="1134" w:type="dxa"/>
            <w:shd w:val="clear" w:color="auto" w:fill="auto"/>
            <w:vAlign w:val="center"/>
          </w:tcPr>
          <w:p>
            <w:pPr>
              <w:spacing w:line="584"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事业</w:t>
            </w:r>
          </w:p>
        </w:tc>
        <w:tc>
          <w:tcPr>
            <w:tcW w:w="1276" w:type="dxa"/>
            <w:shd w:val="clear" w:color="auto" w:fill="auto"/>
            <w:vAlign w:val="center"/>
          </w:tcPr>
          <w:p>
            <w:pPr>
              <w:spacing w:line="584" w:lineRule="exact"/>
              <w:jc w:val="center"/>
              <w:rPr>
                <w:rFonts w:ascii="Times New Roman" w:hAnsi="Times New Roman" w:eastAsia="仿宋_GB2312" w:cs="Times New Roman"/>
                <w:szCs w:val="21"/>
              </w:rPr>
            </w:pPr>
            <w:r>
              <w:rPr>
                <w:rFonts w:ascii="Times New Roman" w:hAnsi="Times New Roman" w:eastAsia="仿宋_GB2312" w:cs="Times New Roman"/>
                <w:szCs w:val="21"/>
              </w:rPr>
              <w:t>正科级</w:t>
            </w:r>
          </w:p>
        </w:tc>
        <w:tc>
          <w:tcPr>
            <w:tcW w:w="3241" w:type="dxa"/>
            <w:shd w:val="clear" w:color="auto" w:fill="auto"/>
            <w:vAlign w:val="center"/>
          </w:tcPr>
          <w:p>
            <w:pPr>
              <w:spacing w:line="584" w:lineRule="exact"/>
              <w:jc w:val="center"/>
              <w:rPr>
                <w:rFonts w:ascii="Times New Roman" w:hAnsi="Times New Roman" w:eastAsia="仿宋_GB2312" w:cs="Times New Roman"/>
                <w:szCs w:val="21"/>
              </w:rPr>
            </w:pPr>
            <w:r>
              <w:rPr>
                <w:rFonts w:ascii="Times New Roman" w:hAnsi="Times New Roman" w:eastAsia="仿宋_GB2312" w:cs="Times New Roman"/>
                <w:szCs w:val="21"/>
              </w:rPr>
              <w:t>财政性资金基本保证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84" w:lineRule="exact"/>
              <w:jc w:val="left"/>
              <w:rPr>
                <w:rFonts w:ascii="Times New Roman" w:hAnsi="Times New Roman" w:eastAsia="仿宋_GB2312" w:cs="Times New Roman"/>
                <w:szCs w:val="21"/>
              </w:rPr>
            </w:pPr>
            <w:r>
              <w:rPr>
                <w:rFonts w:hint="eastAsia" w:ascii="Times New Roman" w:hAnsi="Times New Roman" w:eastAsia="仿宋_GB2312" w:cs="Times New Roman"/>
                <w:szCs w:val="21"/>
              </w:rPr>
              <w:t>廊坊市药品检验所</w:t>
            </w:r>
          </w:p>
        </w:tc>
        <w:tc>
          <w:tcPr>
            <w:tcW w:w="1134" w:type="dxa"/>
            <w:shd w:val="clear" w:color="auto" w:fill="auto"/>
            <w:vAlign w:val="center"/>
          </w:tcPr>
          <w:p>
            <w:pPr>
              <w:spacing w:line="584"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事业</w:t>
            </w:r>
          </w:p>
        </w:tc>
        <w:tc>
          <w:tcPr>
            <w:tcW w:w="1276" w:type="dxa"/>
            <w:shd w:val="clear" w:color="auto" w:fill="auto"/>
            <w:vAlign w:val="center"/>
          </w:tcPr>
          <w:p>
            <w:pPr>
              <w:spacing w:line="584" w:lineRule="exact"/>
              <w:jc w:val="center"/>
              <w:rPr>
                <w:rFonts w:ascii="Times New Roman" w:hAnsi="Times New Roman" w:eastAsia="仿宋_GB2312" w:cs="Times New Roman"/>
                <w:szCs w:val="21"/>
              </w:rPr>
            </w:pPr>
            <w:r>
              <w:rPr>
                <w:rFonts w:ascii="Times New Roman" w:hAnsi="Times New Roman" w:eastAsia="仿宋_GB2312" w:cs="Times New Roman"/>
                <w:szCs w:val="21"/>
              </w:rPr>
              <w:t>正科级</w:t>
            </w:r>
          </w:p>
        </w:tc>
        <w:tc>
          <w:tcPr>
            <w:tcW w:w="3241" w:type="dxa"/>
            <w:shd w:val="clear" w:color="auto" w:fill="auto"/>
            <w:vAlign w:val="center"/>
          </w:tcPr>
          <w:p>
            <w:pPr>
              <w:spacing w:line="584" w:lineRule="exact"/>
              <w:jc w:val="center"/>
              <w:rPr>
                <w:rFonts w:ascii="Times New Roman" w:hAnsi="Times New Roman" w:eastAsia="仿宋_GB2312" w:cs="Times New Roman"/>
                <w:szCs w:val="21"/>
              </w:rPr>
            </w:pPr>
            <w:r>
              <w:rPr>
                <w:rFonts w:ascii="Times New Roman" w:hAnsi="Times New Roman" w:eastAsia="仿宋_GB2312" w:cs="Times New Roman"/>
                <w:szCs w:val="21"/>
              </w:rPr>
              <w:t>财政性资金基本保证</w:t>
            </w:r>
          </w:p>
        </w:tc>
      </w:tr>
    </w:tbl>
    <w:p>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二、部门预算安排的总体情况</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按照预算管理有关规定，目前我市部门预算的编制实行综合预算制度，即全部收入和支出都反映在预算中。廊坊市</w:t>
      </w:r>
      <w:r>
        <w:rPr>
          <w:rFonts w:hint="eastAsia" w:ascii="Times New Roman" w:hAnsi="Times New Roman" w:eastAsia="仿宋_GB2312" w:cs="Times New Roman"/>
          <w:sz w:val="32"/>
          <w:szCs w:val="32"/>
        </w:rPr>
        <w:t>市场监督管理局</w:t>
      </w:r>
      <w:r>
        <w:rPr>
          <w:rFonts w:ascii="Times New Roman" w:hAnsi="Times New Roman" w:eastAsia="仿宋_GB2312" w:cs="Times New Roman"/>
          <w:sz w:val="32"/>
          <w:szCs w:val="32"/>
        </w:rPr>
        <w:t>机关及所属事业单位的收支包含在部门预算中。</w:t>
      </w:r>
    </w:p>
    <w:p>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1、收入说明</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rPr>
        <w:t>14410.92</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14410.92</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p>
    <w:p>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2、支出说明</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rPr>
        <w:t>市场监督管理局</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rPr>
        <w:t>14410.92</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7809.78</w:t>
      </w:r>
      <w:r>
        <w:rPr>
          <w:rFonts w:ascii="Times New Roman" w:hAnsi="Times New Roman" w:eastAsia="仿宋_GB2312" w:cs="Times New Roman"/>
          <w:sz w:val="32"/>
          <w:szCs w:val="32"/>
        </w:rPr>
        <w:t>万元，包括人员经费</w:t>
      </w:r>
      <w:r>
        <w:rPr>
          <w:rFonts w:hint="eastAsia" w:ascii="Times New Roman" w:hAnsi="Times New Roman" w:eastAsia="仿宋_GB2312" w:cs="Times New Roman"/>
          <w:sz w:val="32"/>
          <w:szCs w:val="32"/>
        </w:rPr>
        <w:t>6961.11</w:t>
      </w:r>
      <w:r>
        <w:rPr>
          <w:rFonts w:ascii="Times New Roman" w:hAnsi="Times New Roman" w:eastAsia="仿宋_GB2312" w:cs="Times New Roman"/>
          <w:sz w:val="32"/>
          <w:szCs w:val="32"/>
        </w:rPr>
        <w:t>万元和日常公用经费</w:t>
      </w:r>
      <w:r>
        <w:rPr>
          <w:rFonts w:hint="eastAsia" w:ascii="Times New Roman" w:hAnsi="Times New Roman" w:eastAsia="仿宋_GB2312" w:cs="Times New Roman"/>
          <w:sz w:val="32"/>
          <w:szCs w:val="32"/>
        </w:rPr>
        <w:t>848.67</w:t>
      </w:r>
      <w:r>
        <w:rPr>
          <w:rFonts w:ascii="Times New Roman" w:hAnsi="Times New Roman" w:eastAsia="仿宋_GB2312" w:cs="Times New Roman"/>
          <w:sz w:val="32"/>
          <w:szCs w:val="32"/>
        </w:rPr>
        <w:t>万元；项目支出</w:t>
      </w:r>
      <w:r>
        <w:rPr>
          <w:rFonts w:hint="eastAsia" w:ascii="Times New Roman" w:hAnsi="Times New Roman" w:eastAsia="仿宋_GB2312" w:cs="Times New Roman"/>
          <w:sz w:val="32"/>
          <w:szCs w:val="32"/>
        </w:rPr>
        <w:t>6601.14</w:t>
      </w:r>
      <w:r>
        <w:rPr>
          <w:rFonts w:ascii="Times New Roman" w:hAnsi="Times New Roman" w:eastAsia="仿宋_GB2312" w:cs="Times New Roman"/>
          <w:sz w:val="32"/>
          <w:szCs w:val="32"/>
        </w:rPr>
        <w:t>万元，包括本级支出，主要为</w:t>
      </w:r>
      <w:r>
        <w:rPr>
          <w:rFonts w:hint="eastAsia" w:ascii="Times New Roman" w:hAnsi="Times New Roman" w:eastAsia="仿宋_GB2312" w:cs="Times New Roman"/>
          <w:sz w:val="32"/>
          <w:szCs w:val="32"/>
        </w:rPr>
        <w:t>一般行政管理事务</w:t>
      </w:r>
      <w:r>
        <w:rPr>
          <w:rFonts w:ascii="Times New Roman" w:hAnsi="Times New Roman" w:eastAsia="仿宋_GB2312" w:cs="Times New Roman"/>
          <w:sz w:val="32"/>
          <w:szCs w:val="32"/>
        </w:rPr>
        <w:t>885.84</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市场主体管理</w:t>
      </w:r>
      <w:r>
        <w:rPr>
          <w:rFonts w:ascii="Times New Roman" w:hAnsi="Times New Roman" w:eastAsia="仿宋_GB2312" w:cs="Times New Roman"/>
          <w:sz w:val="32"/>
          <w:szCs w:val="32"/>
        </w:rPr>
        <w:t>1932.46</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市场秩序执法</w:t>
      </w:r>
      <w:r>
        <w:rPr>
          <w:rFonts w:ascii="Times New Roman" w:hAnsi="Times New Roman" w:eastAsia="仿宋_GB2312" w:cs="Times New Roman"/>
          <w:sz w:val="32"/>
          <w:szCs w:val="32"/>
        </w:rPr>
        <w:t>632</w:t>
      </w:r>
      <w:r>
        <w:rPr>
          <w:rFonts w:hint="eastAsia" w:ascii="Times New Roman" w:hAnsi="Times New Roman" w:eastAsia="仿宋_GB2312" w:cs="Times New Roman"/>
          <w:sz w:val="32"/>
          <w:szCs w:val="32"/>
        </w:rPr>
        <w:t>万元、信息化建设</w:t>
      </w:r>
      <w:r>
        <w:rPr>
          <w:rFonts w:ascii="Times New Roman" w:hAnsi="Times New Roman" w:eastAsia="仿宋_GB2312" w:cs="Times New Roman"/>
          <w:sz w:val="32"/>
          <w:szCs w:val="32"/>
        </w:rPr>
        <w:t>283.44</w:t>
      </w:r>
      <w:r>
        <w:rPr>
          <w:rFonts w:hint="eastAsia" w:ascii="Times New Roman" w:hAnsi="Times New Roman" w:eastAsia="仿宋_GB2312" w:cs="Times New Roman"/>
          <w:sz w:val="32"/>
          <w:szCs w:val="32"/>
        </w:rPr>
        <w:t>万元、质量基础</w:t>
      </w:r>
      <w:r>
        <w:rPr>
          <w:rFonts w:ascii="Times New Roman" w:hAnsi="Times New Roman" w:eastAsia="仿宋_GB2312" w:cs="Times New Roman"/>
          <w:sz w:val="32"/>
          <w:szCs w:val="32"/>
        </w:rPr>
        <w:t>865</w:t>
      </w:r>
      <w:r>
        <w:rPr>
          <w:rFonts w:hint="eastAsia" w:ascii="Times New Roman" w:hAnsi="Times New Roman" w:eastAsia="仿宋_GB2312" w:cs="Times New Roman"/>
          <w:sz w:val="32"/>
          <w:szCs w:val="32"/>
        </w:rPr>
        <w:t>万元、药品事务</w:t>
      </w:r>
      <w:r>
        <w:rPr>
          <w:rFonts w:ascii="Times New Roman" w:hAnsi="Times New Roman" w:eastAsia="仿宋_GB2312" w:cs="Times New Roman"/>
          <w:sz w:val="32"/>
          <w:szCs w:val="32"/>
        </w:rPr>
        <w:t>181</w:t>
      </w:r>
      <w:r>
        <w:rPr>
          <w:rFonts w:hint="eastAsia" w:ascii="Times New Roman" w:hAnsi="Times New Roman" w:eastAsia="仿宋_GB2312" w:cs="Times New Roman"/>
          <w:sz w:val="32"/>
          <w:szCs w:val="32"/>
        </w:rPr>
        <w:t>万元、医疗器械事务5万元、化妆品事务</w:t>
      </w:r>
      <w:r>
        <w:rPr>
          <w:rFonts w:ascii="Times New Roman" w:hAnsi="Times New Roman" w:eastAsia="仿宋_GB2312" w:cs="Times New Roman"/>
          <w:sz w:val="32"/>
          <w:szCs w:val="32"/>
        </w:rPr>
        <w:t>15</w:t>
      </w:r>
      <w:r>
        <w:rPr>
          <w:rFonts w:hint="eastAsia" w:ascii="Times New Roman" w:hAnsi="Times New Roman" w:eastAsia="仿宋_GB2312" w:cs="Times New Roman"/>
          <w:sz w:val="32"/>
          <w:szCs w:val="32"/>
        </w:rPr>
        <w:t>万元、质量安全监管357万元、食品安全监管</w:t>
      </w:r>
      <w:r>
        <w:rPr>
          <w:rFonts w:ascii="Times New Roman" w:hAnsi="Times New Roman" w:eastAsia="仿宋_GB2312" w:cs="Times New Roman"/>
          <w:sz w:val="32"/>
          <w:szCs w:val="32"/>
        </w:rPr>
        <w:t>1092</w:t>
      </w:r>
      <w:r>
        <w:rPr>
          <w:rFonts w:hint="eastAsia" w:ascii="Times New Roman" w:hAnsi="Times New Roman" w:eastAsia="仿宋_GB2312" w:cs="Times New Roman"/>
          <w:sz w:val="32"/>
          <w:szCs w:val="32"/>
        </w:rPr>
        <w:t>万元、其他市场监督管理事务</w:t>
      </w:r>
      <w:r>
        <w:rPr>
          <w:rFonts w:ascii="Times New Roman" w:hAnsi="Times New Roman" w:eastAsia="仿宋_GB2312" w:cs="Times New Roman"/>
          <w:sz w:val="32"/>
          <w:szCs w:val="32"/>
        </w:rPr>
        <w:t>352.4</w:t>
      </w:r>
      <w:r>
        <w:rPr>
          <w:rFonts w:hint="eastAsia" w:ascii="Times New Roman" w:hAnsi="Times New Roman" w:eastAsia="仿宋_GB2312" w:cs="Times New Roman"/>
          <w:sz w:val="32"/>
          <w:szCs w:val="32"/>
        </w:rPr>
        <w:t>0万元</w:t>
      </w:r>
      <w:r>
        <w:rPr>
          <w:rFonts w:ascii="Times New Roman" w:hAnsi="Times New Roman" w:eastAsia="仿宋_GB2312" w:cs="Times New Roman"/>
          <w:sz w:val="32"/>
          <w:szCs w:val="32"/>
        </w:rPr>
        <w:t>。</w:t>
      </w:r>
    </w:p>
    <w:p>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3、比上年增减情况</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rPr>
        <w:t>14410.92</w:t>
      </w:r>
      <w:r>
        <w:rPr>
          <w:rFonts w:ascii="Times New Roman" w:hAnsi="Times New Roman" w:eastAsia="仿宋_GB2312" w:cs="Times New Roman"/>
          <w:sz w:val="32"/>
          <w:szCs w:val="32"/>
        </w:rPr>
        <w:t>万元，较201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年预算减少</w:t>
      </w:r>
      <w:r>
        <w:rPr>
          <w:rFonts w:hint="eastAsia" w:ascii="Times New Roman" w:hAnsi="Times New Roman" w:eastAsia="仿宋_GB2312" w:cs="Times New Roman"/>
          <w:sz w:val="32"/>
          <w:szCs w:val="32"/>
        </w:rPr>
        <w:t>14.79</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166.53</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人员经费支出增加87.46万元、日常公用经费</w:t>
      </w:r>
      <w:r>
        <w:rPr>
          <w:rFonts w:ascii="Times New Roman" w:hAnsi="Times New Roman" w:eastAsia="仿宋_GB2312" w:cs="Times New Roman"/>
          <w:sz w:val="32"/>
          <w:szCs w:val="32"/>
        </w:rPr>
        <w:t>支出</w:t>
      </w:r>
      <w:r>
        <w:rPr>
          <w:rFonts w:hint="eastAsia" w:ascii="Times New Roman" w:hAnsi="Times New Roman" w:eastAsia="仿宋_GB2312" w:cs="Times New Roman"/>
          <w:sz w:val="32"/>
          <w:szCs w:val="32"/>
        </w:rPr>
        <w:t>增加79.07万元</w:t>
      </w:r>
      <w:r>
        <w:rPr>
          <w:rFonts w:ascii="Times New Roman" w:hAnsi="Times New Roman" w:eastAsia="仿宋_GB2312" w:cs="Times New Roman"/>
          <w:sz w:val="32"/>
          <w:szCs w:val="32"/>
        </w:rPr>
        <w:t>；项目支出减少</w:t>
      </w:r>
      <w:r>
        <w:rPr>
          <w:rFonts w:hint="eastAsia" w:ascii="Times New Roman" w:hAnsi="Times New Roman" w:eastAsia="仿宋_GB2312" w:cs="Times New Roman"/>
          <w:sz w:val="32"/>
          <w:szCs w:val="32"/>
        </w:rPr>
        <w:t>181.32</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食品安全示范城市创建执法装备购置经费减少100万元、租用办公用房经费减少275.25万元、打击非法传销工作及奖励经费减少18万元、大气治理经费减少85.80万元、电梯应急处置服务平台运转经费减少135万元、知识产权资助与奖励专项资金减少134.42万元、12315投诉举报中心平台建设项目经费增加</w:t>
      </w:r>
      <w:r>
        <w:rPr>
          <w:rFonts w:ascii="Times New Roman" w:hAnsi="Times New Roman" w:eastAsia="仿宋_GB2312" w:cs="Times New Roman"/>
          <w:sz w:val="32"/>
          <w:szCs w:val="32"/>
        </w:rPr>
        <w:t>262.64</w:t>
      </w:r>
      <w:r>
        <w:rPr>
          <w:rFonts w:hint="eastAsia" w:ascii="Times New Roman" w:hAnsi="Times New Roman" w:eastAsia="仿宋_GB2312" w:cs="Times New Roman"/>
          <w:sz w:val="32"/>
          <w:szCs w:val="32"/>
        </w:rPr>
        <w:t>万元、网络维护费增加100.44万元、培训工作经费增加95万元、知识产权工作经费增加11.07万元、新闻宣传工作经费增加98万元</w:t>
      </w:r>
      <w:r>
        <w:rPr>
          <w:rFonts w:ascii="Times New Roman" w:hAnsi="Times New Roman" w:eastAsia="仿宋_GB2312" w:cs="Times New Roman"/>
          <w:sz w:val="32"/>
          <w:szCs w:val="32"/>
        </w:rPr>
        <w:t>。</w:t>
      </w:r>
    </w:p>
    <w:p>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rPr>
        <w:t>848.67</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光明西道及新华路</w:t>
      </w:r>
      <w:r>
        <w:rPr>
          <w:rFonts w:ascii="Times New Roman" w:hAnsi="Times New Roman" w:eastAsia="仿宋_GB2312" w:cs="Times New Roman"/>
          <w:sz w:val="32"/>
          <w:szCs w:val="32"/>
        </w:rPr>
        <w:t>办公区的日常维修、办公用房水电费、办公用房取暖费、办公用房物业管理费等日常运行支出。</w:t>
      </w:r>
    </w:p>
    <w:p>
      <w:pPr>
        <w:autoSpaceDE w:val="0"/>
        <w:autoSpaceDN w:val="0"/>
        <w:adjustRightInd w:val="0"/>
        <w:spacing w:line="584" w:lineRule="exact"/>
        <w:ind w:firstLine="640" w:firstLineChars="200"/>
        <w:jc w:val="left"/>
        <w:rPr>
          <w:rFonts w:ascii="黑体" w:hAnsi="黑体" w:eastAsia="黑体" w:cs="Times New Roman"/>
          <w:sz w:val="32"/>
          <w:szCs w:val="32"/>
        </w:rPr>
      </w:pPr>
      <w:r>
        <w:rPr>
          <w:rFonts w:ascii="黑体" w:hAnsi="黑体" w:eastAsia="黑体" w:cs="Times New Roman"/>
          <w:sz w:val="32"/>
          <w:szCs w:val="32"/>
        </w:rPr>
        <w:t>四、财政拨款“三公”经费预算情况及增减变化原因</w:t>
      </w:r>
    </w:p>
    <w:p>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年，我局财政拨款“三公”经费预算安排</w:t>
      </w:r>
      <w:r>
        <w:rPr>
          <w:rFonts w:hint="eastAsia" w:ascii="Times New Roman" w:hAnsi="Times New Roman" w:eastAsia="仿宋_GB2312" w:cs="Times New Roman"/>
          <w:sz w:val="32"/>
          <w:szCs w:val="32"/>
        </w:rPr>
        <w:t>151.73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146.47</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146.47</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5.26</w:t>
      </w:r>
      <w:r>
        <w:rPr>
          <w:rFonts w:ascii="Times New Roman" w:hAnsi="Times New Roman" w:eastAsia="仿宋_GB2312" w:cs="Times New Roman"/>
          <w:sz w:val="32"/>
          <w:szCs w:val="32"/>
        </w:rPr>
        <w:t>万元。与201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ascii="Times New Roman" w:hAnsi="Times New Roman" w:eastAsia="仿宋_GB2312" w:cs="Times New Roman"/>
          <w:sz w:val="32"/>
          <w:szCs w:val="32"/>
        </w:rPr>
        <w:t>减</w:t>
      </w:r>
      <w:r>
        <w:rPr>
          <w:rFonts w:hint="eastAsia" w:ascii="Times New Roman" w:hAnsi="Times New Roman" w:eastAsia="仿宋_GB2312" w:cs="Times New Roman"/>
          <w:sz w:val="32"/>
          <w:szCs w:val="32"/>
        </w:rPr>
        <w:t>少36</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公务用车购置及运维费减</w:t>
      </w:r>
      <w:r>
        <w:rPr>
          <w:rFonts w:hint="eastAsia" w:ascii="Times New Roman" w:hAnsi="Times New Roman" w:eastAsia="仿宋_GB2312" w:cs="Times New Roman"/>
          <w:sz w:val="32"/>
          <w:szCs w:val="32"/>
        </w:rPr>
        <w:t>少36</w:t>
      </w:r>
      <w:r>
        <w:rPr>
          <w:rFonts w:ascii="Times New Roman" w:hAnsi="Times New Roman" w:eastAsia="仿宋_GB2312" w:cs="Times New Roman"/>
          <w:sz w:val="32"/>
          <w:szCs w:val="32"/>
        </w:rPr>
        <w:t>万元（其中：公务用车购置费减</w:t>
      </w:r>
      <w:r>
        <w:rPr>
          <w:rFonts w:hint="eastAsia" w:ascii="Times New Roman" w:hAnsi="Times New Roman" w:eastAsia="仿宋_GB2312" w:cs="Times New Roman"/>
          <w:sz w:val="32"/>
          <w:szCs w:val="32"/>
        </w:rPr>
        <w:t>少0</w:t>
      </w:r>
      <w:r>
        <w:rPr>
          <w:rFonts w:ascii="Times New Roman" w:hAnsi="Times New Roman" w:eastAsia="仿宋_GB2312" w:cs="Times New Roman"/>
          <w:sz w:val="32"/>
          <w:szCs w:val="32"/>
        </w:rPr>
        <w:t>万元，公务用车运维费减</w:t>
      </w:r>
      <w:r>
        <w:rPr>
          <w:rFonts w:hint="eastAsia" w:ascii="Times New Roman" w:hAnsi="Times New Roman" w:eastAsia="仿宋_GB2312" w:cs="Times New Roman"/>
          <w:sz w:val="32"/>
          <w:szCs w:val="32"/>
        </w:rPr>
        <w:t>少36</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：一是2019年度我单位报废车辆4部；二是我部门切实落实勤俭节约各项规定，压减公车运行经费支出</w:t>
      </w:r>
      <w:r>
        <w:rPr>
          <w:rFonts w:ascii="Times New Roman" w:hAnsi="Times New Roman" w:eastAsia="仿宋_GB2312" w:cs="Times New Roman"/>
          <w:sz w:val="32"/>
          <w:szCs w:val="32"/>
        </w:rPr>
        <w:t>；公务接待费减</w:t>
      </w:r>
      <w:r>
        <w:rPr>
          <w:rFonts w:hint="eastAsia" w:ascii="Times New Roman" w:hAnsi="Times New Roman" w:eastAsia="仿宋_GB2312" w:cs="Times New Roman"/>
          <w:sz w:val="32"/>
          <w:szCs w:val="32"/>
        </w:rPr>
        <w:t>少0万元，</w:t>
      </w:r>
      <w:r>
        <w:rPr>
          <w:rFonts w:ascii="Times New Roman" w:hAnsi="Times New Roman" w:eastAsia="仿宋_GB2312" w:cs="Times New Roman"/>
          <w:sz w:val="32"/>
          <w:szCs w:val="32"/>
        </w:rPr>
        <w:t>主要原因是与201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年相比持平，无增减变化。</w:t>
      </w:r>
    </w:p>
    <w:p>
      <w:pPr>
        <w:spacing w:line="584" w:lineRule="exact"/>
        <w:ind w:firstLine="640" w:firstLineChars="200"/>
        <w:rPr>
          <w:rFonts w:ascii="Times New Roman" w:hAnsi="黑体" w:eastAsia="黑体" w:cs="Times New Roman"/>
          <w:sz w:val="32"/>
          <w:szCs w:val="32"/>
        </w:rPr>
      </w:pPr>
      <w:r>
        <w:rPr>
          <w:rFonts w:ascii="Times New Roman" w:hAnsi="黑体" w:eastAsia="黑体" w:cs="Times New Roman"/>
          <w:sz w:val="32"/>
          <w:szCs w:val="32"/>
        </w:rPr>
        <w:t>五、绩效预算信息</w:t>
      </w:r>
    </w:p>
    <w:p>
      <w:pPr>
        <w:spacing w:line="584" w:lineRule="exact"/>
        <w:ind w:firstLine="643" w:firstLineChars="200"/>
        <w:rPr>
          <w:rFonts w:ascii="黑体" w:hAnsi="黑体" w:eastAsia="黑体" w:cs="Times New Roman"/>
          <w:b/>
          <w:sz w:val="32"/>
          <w:szCs w:val="32"/>
        </w:rPr>
      </w:pPr>
      <w:r>
        <w:rPr>
          <w:rFonts w:hint="eastAsia" w:ascii="黑体" w:hAnsi="黑体" w:eastAsia="黑体" w:cs="Times New Roman"/>
          <w:b/>
          <w:sz w:val="32"/>
          <w:szCs w:val="32"/>
        </w:rPr>
        <w:t>第一部分 部门整体绩效目标</w:t>
      </w:r>
    </w:p>
    <w:p>
      <w:pPr>
        <w:spacing w:line="584" w:lineRule="exact"/>
        <w:ind w:firstLine="643" w:firstLineChars="200"/>
        <w:rPr>
          <w:rFonts w:ascii="楷体_GB2312" w:hAnsi="楷体" w:eastAsia="楷体_GB2312" w:cs="Times New Roman"/>
          <w:b/>
          <w:sz w:val="32"/>
          <w:szCs w:val="32"/>
        </w:rPr>
      </w:pPr>
      <w:r>
        <w:rPr>
          <w:rFonts w:hint="eastAsia" w:ascii="楷体_GB2312" w:hAnsi="楷体" w:eastAsia="楷体_GB2312" w:cs="Times New Roman"/>
          <w:b/>
          <w:sz w:val="32"/>
          <w:szCs w:val="32"/>
        </w:rPr>
        <w:t>（一）总体绩效目标</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全力服务于全市经济发展</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培育壮大市场主体</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重点培育</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家企业开展知识产权贯标工作，打造</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家知识产权骨干企业；全面加快推进质量强市战略，</w:t>
      </w:r>
      <w:r>
        <w:rPr>
          <w:rFonts w:hint="eastAsia" w:ascii="Times New Roman" w:hAnsi="Times New Roman" w:eastAsia="仿宋_GB2312" w:cs="Times New Roman"/>
          <w:color w:val="auto"/>
          <w:sz w:val="32"/>
          <w:szCs w:val="32"/>
        </w:rPr>
        <w:t>通过开展质量强制检定工作、建设</w:t>
      </w:r>
      <w:r>
        <w:rPr>
          <w:rFonts w:ascii="Times New Roman" w:hAnsi="Times New Roman" w:eastAsia="仿宋_GB2312" w:cs="Times New Roman"/>
          <w:color w:val="auto"/>
          <w:sz w:val="32"/>
          <w:szCs w:val="32"/>
        </w:rPr>
        <w:t>12315</w:t>
      </w:r>
      <w:r>
        <w:rPr>
          <w:rFonts w:hint="eastAsia" w:ascii="Times New Roman" w:hAnsi="Times New Roman" w:eastAsia="仿宋_GB2312" w:cs="Times New Roman"/>
          <w:color w:val="auto"/>
          <w:sz w:val="32"/>
          <w:szCs w:val="32"/>
        </w:rPr>
        <w:t>投诉举报中心、及时合规的完成</w:t>
      </w:r>
      <w:r>
        <w:rPr>
          <w:rFonts w:ascii="Times New Roman" w:hAnsi="Times New Roman" w:eastAsia="仿宋_GB2312" w:cs="Times New Roman"/>
          <w:color w:val="auto"/>
          <w:sz w:val="32"/>
          <w:szCs w:val="32"/>
        </w:rPr>
        <w:t>2853</w:t>
      </w:r>
      <w:r>
        <w:rPr>
          <w:rFonts w:hint="eastAsia" w:ascii="Times New Roman" w:hAnsi="Times New Roman" w:eastAsia="仿宋_GB2312" w:cs="Times New Roman"/>
          <w:color w:val="auto"/>
          <w:sz w:val="32"/>
          <w:szCs w:val="32"/>
        </w:rPr>
        <w:t>批次以上的抽检任务</w:t>
      </w:r>
      <w:r>
        <w:rPr>
          <w:rFonts w:hint="eastAsia" w:ascii="Times New Roman" w:hAnsi="Times New Roman" w:eastAsia="仿宋_GB2312" w:cs="Times New Roman"/>
          <w:sz w:val="32"/>
          <w:szCs w:val="32"/>
        </w:rPr>
        <w:t>；持续推进特种设备</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双控</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机制建设，强化安全主体责任落实，发挥</w:t>
      </w:r>
      <w:r>
        <w:rPr>
          <w:rFonts w:ascii="Times New Roman" w:hAnsi="Times New Roman" w:eastAsia="仿宋_GB2312" w:cs="Times New Roman"/>
          <w:sz w:val="32"/>
          <w:szCs w:val="32"/>
        </w:rPr>
        <w:t>96365</w:t>
      </w:r>
      <w:r>
        <w:rPr>
          <w:rFonts w:hint="eastAsia" w:ascii="Times New Roman" w:hAnsi="Times New Roman" w:eastAsia="仿宋_GB2312" w:cs="Times New Roman"/>
          <w:sz w:val="32"/>
          <w:szCs w:val="32"/>
        </w:rPr>
        <w:t>电梯平台作用，提升应急处置能力；实现专利、商标等知识产权得到保障，实现食品、药品等产品质量安全事故发生率同比下降，保证缺陷产品召回率达到</w:t>
      </w:r>
      <w:r>
        <w:rPr>
          <w:rFonts w:ascii="Times New Roman" w:hAnsi="Times New Roman" w:eastAsia="仿宋_GB2312" w:cs="Times New Roman"/>
          <w:sz w:val="32"/>
          <w:szCs w:val="32"/>
        </w:rPr>
        <w:t>90%</w:t>
      </w:r>
      <w:r>
        <w:rPr>
          <w:rFonts w:hint="eastAsia" w:ascii="Times New Roman" w:hAnsi="Times New Roman" w:eastAsia="仿宋_GB2312" w:cs="Times New Roman"/>
          <w:sz w:val="32"/>
          <w:szCs w:val="32"/>
        </w:rPr>
        <w:t>及以上，保障消费者的合法权益，推动我市经济发展质量变革、效率变革、动力变革，着力解决质量发展不平衡不充分问题，不断满足人民日益增长的质量需求。</w:t>
      </w:r>
    </w:p>
    <w:p>
      <w:pPr>
        <w:spacing w:line="584" w:lineRule="exact"/>
        <w:ind w:firstLine="643" w:firstLineChars="200"/>
        <w:rPr>
          <w:rFonts w:ascii="楷体_GB2312" w:hAnsi="楷体" w:eastAsia="楷体_GB2312" w:cs="Times New Roman"/>
          <w:b/>
          <w:sz w:val="32"/>
          <w:szCs w:val="32"/>
        </w:rPr>
      </w:pPr>
      <w:r>
        <w:rPr>
          <w:rFonts w:hint="eastAsia" w:ascii="楷体_GB2312" w:hAnsi="楷体" w:eastAsia="楷体_GB2312" w:cs="Times New Roman"/>
          <w:b/>
          <w:sz w:val="32"/>
          <w:szCs w:val="32"/>
        </w:rPr>
        <w:t>（二）分项绩效目标</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00" w:lineRule="exact"/>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市场监督管理能力和水平整体增强</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00" w:lineRule="exact"/>
        <w:ind w:firstLine="63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市场监管治理体系进一步完善，市场数量稳定增长，市场活力进一步增强，市场发展环境进一步优化，市场秩序进一步好转，食品生产企业实施HACCP等先进质量管理体系，食品安全风险监测预警能力稳步提升，突发食品事件应急处置能力持续强化，监督检查特种设备能力整体增强，产品质量水平进一步提高。</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00" w:lineRule="exact"/>
        <w:ind w:firstLine="63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绩效指标：全市对企业行政指导覆盖率大于90%，组织全市食品生产集中区治理提升不低于11个，食品生产企业检查率大于90%，重大食品安全事故数为零，特种设备定检完成率不低于95%。</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质量发展水平进一步提升</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00" w:lineRule="exact"/>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目标：推进质量强省战略、产品质量安全管理制度更加完善，推进品牌建设，全省质量基础设施协同服务成熟高效，省级地方标准制修订水平进一步提高，全面实施国家标准、行业标准和地方标准，对标准的实施进行监督检查。知识产权保护体系更加完善，对商标、专利、地理标志等执法工作稳定开展，维权援助工作有效执行，推动知识产权运营服务体系建设不断提升，驰名商标推荐工作持续开展，知识产权信息公共服务体系建设更加成熟，知识产权信息传播利用不断增强。</w:t>
      </w:r>
    </w:p>
    <w:p>
      <w:pPr>
        <w:tabs>
          <w:tab w:val="left" w:pos="141"/>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s>
        <w:spacing w:line="520" w:lineRule="exact"/>
        <w:ind w:left="141" w:firstLine="488"/>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指标：对年度内授权的国内发明专利，每件资助3000元；实用新型专利，每件资助1000元；外观设计专利，每件资助500元。对年度发明专利授权量10件以上的单位给予10万元奖励。对成功运用知识产权质押融资的企业，按贷款利息的10%进行补贴。对参加专利保险的企业全额补贴专利保险费。对通过《企业知识产权管理规范》国家标准认证的企业，按5万元标准给予后补助。</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00" w:lineRule="exact"/>
        <w:ind w:firstLine="56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市场监督行政执法进一步增强</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00" w:lineRule="exact"/>
        <w:ind w:firstLine="56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绩效目标：</w:t>
      </w:r>
      <w:r>
        <w:rPr>
          <w:rFonts w:ascii="Times New Roman" w:hAnsi="Times New Roman" w:eastAsia="仿宋_GB2312" w:cs="Times New Roman"/>
          <w:color w:val="auto"/>
          <w:sz w:val="32"/>
          <w:szCs w:val="32"/>
        </w:rPr>
        <w:t>查处市场主体准入、生产、经营、交易中的有关违法行为</w:t>
      </w: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组织查办、督查督办</w:t>
      </w:r>
      <w:r>
        <w:rPr>
          <w:rFonts w:hint="eastAsia" w:ascii="Times New Roman" w:hAnsi="Times New Roman" w:eastAsia="仿宋_GB2312" w:cs="Times New Roman"/>
          <w:color w:val="auto"/>
          <w:sz w:val="32"/>
          <w:szCs w:val="32"/>
        </w:rPr>
        <w:t>具有</w:t>
      </w:r>
      <w:r>
        <w:rPr>
          <w:rFonts w:ascii="Times New Roman" w:hAnsi="Times New Roman" w:eastAsia="仿宋_GB2312" w:cs="Times New Roman"/>
          <w:color w:val="auto"/>
          <w:sz w:val="32"/>
          <w:szCs w:val="32"/>
        </w:rPr>
        <w:t>全省性影响和跨区域的大案要案</w:t>
      </w:r>
      <w:r>
        <w:rPr>
          <w:rFonts w:hint="eastAsia" w:ascii="Times New Roman" w:hAnsi="Times New Roman" w:eastAsia="仿宋_GB2312" w:cs="Times New Roman"/>
          <w:color w:val="auto"/>
          <w:sz w:val="32"/>
          <w:szCs w:val="32"/>
        </w:rPr>
        <w:t>，市场监管执法</w:t>
      </w:r>
      <w:r>
        <w:rPr>
          <w:rFonts w:ascii="Times New Roman" w:hAnsi="Times New Roman" w:eastAsia="仿宋_GB2312" w:cs="Times New Roman"/>
          <w:color w:val="auto"/>
          <w:sz w:val="32"/>
          <w:szCs w:val="32"/>
        </w:rPr>
        <w:t>水平进一步提高</w:t>
      </w:r>
      <w:r>
        <w:rPr>
          <w:rFonts w:hint="eastAsia" w:ascii="Times New Roman" w:hAnsi="Times New Roman" w:eastAsia="仿宋_GB2312" w:cs="Times New Roman"/>
          <w:color w:val="auto"/>
          <w:sz w:val="32"/>
          <w:szCs w:val="32"/>
        </w:rPr>
        <w:t>。通过</w:t>
      </w:r>
      <w:r>
        <w:rPr>
          <w:rFonts w:ascii="Times New Roman" w:hAnsi="Times New Roman" w:eastAsia="仿宋_GB2312" w:cs="Times New Roman"/>
          <w:sz w:val="32"/>
          <w:szCs w:val="32"/>
        </w:rPr>
        <w:t>查处垄断案件、不正当竞争行为，组织指导公平竞争审查，有效监督管理直销企业直销活动，增强打击传销力度。</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00" w:lineRule="exact"/>
        <w:ind w:firstLine="56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绩效指标：执法案件查处率大于90%，对下级市场监管部门督导检查次数大于10次，对企业行政指导工作次数大于4次。</w:t>
      </w:r>
    </w:p>
    <w:p>
      <w:pPr>
        <w:spacing w:line="500" w:lineRule="exact"/>
        <w:ind w:firstLine="56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知识产权保护与发展水平进一步提高</w:t>
      </w:r>
    </w:p>
    <w:p>
      <w:pPr>
        <w:spacing w:line="600" w:lineRule="exact"/>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目标：知识产权保护体系更加完善，对商标、专利、地理标志等执法工作稳定开展，维权援助工作有效执行，推动知识产权运营服务体系建设不断提升，驰名商标推荐工作持续开展，知识产权信息公共服务体系建设更加成熟，知识产权信息传播利用不断增强。</w:t>
      </w:r>
    </w:p>
    <w:p>
      <w:pPr>
        <w:spacing w:line="500" w:lineRule="exact"/>
        <w:ind w:firstLine="56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绩效指标：年度内组织开展的知识产权宣传普及活动数量大于6次，参与企业知识产权管理国家标准推行、知识产权优势培育的试点企业通过知识产权部门验收的比例大于80%.</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00" w:lineRule="exact"/>
        <w:ind w:firstLine="56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市场监督政务管理能力得到提升</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00" w:lineRule="exact"/>
        <w:ind w:firstLine="56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利用市局官网、微信等宣传平台,提升宣传效果，用新闻报道讲好市场监管故事。对重大事件实施动态监测，有效避免负面舆情危机。法律服务能力进一步提升；科研管理、技术引进、成果应用工作稳步提高；教育、培训、市场监管文化建设进一步加强，综合保障能力进一步提高。</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00" w:lineRule="exact"/>
        <w:ind w:firstLine="56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绩效指标：绩效指标：媒体宣传市区全覆率100%，组织培训36次，门户网维护好评率大于90%。</w:t>
      </w:r>
    </w:p>
    <w:p>
      <w:pPr>
        <w:spacing w:line="584" w:lineRule="exact"/>
        <w:ind w:firstLine="643" w:firstLineChars="200"/>
        <w:rPr>
          <w:rFonts w:ascii="楷体_GB2312" w:hAnsi="楷体" w:eastAsia="楷体_GB2312" w:cs="Times New Roman"/>
          <w:b/>
          <w:sz w:val="32"/>
          <w:szCs w:val="32"/>
        </w:rPr>
      </w:pPr>
      <w:r>
        <w:rPr>
          <w:rFonts w:hint="eastAsia" w:ascii="楷体_GB2312" w:hAnsi="楷体" w:eastAsia="楷体_GB2312" w:cs="Times New Roman"/>
          <w:b/>
          <w:sz w:val="32"/>
          <w:szCs w:val="32"/>
        </w:rPr>
        <w:t>（三）工作保障措施</w:t>
      </w:r>
    </w:p>
    <w:p>
      <w:pPr>
        <w:spacing w:line="5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提高思想认识，建立健全各项工作制度。要发挥市场监管的作用，必须确保食品药品、特种设备安全，严厉打击传销、虚假广告、不正当竞争、假冒伪劣等违法行为，维护全市市场经济秩序。我们必须提高政治站位</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增强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四个意识</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坚定</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四个自信</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落实</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两个维护</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深刻把握贯穿习近平新时代中国特色社会主义思想所蕴含的思想方法和工作方法</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不断提高市场监管工作攻坚克难、驾驭复杂局面的水平和能力。要始终坚持服务人民，把更好满足人民群众日益增长的美好生活需要作为新时代市场监管工作的出发点和落脚点。以对党对人民高度负责的精神，时不我待，扎扎实实履职尽责。因此要建立健全各项工作制度，并在工作中得以坚持。</w:t>
      </w:r>
    </w:p>
    <w:p>
      <w:pPr>
        <w:spacing w:line="500" w:lineRule="exact"/>
        <w:ind w:firstLine="640" w:firstLineChars="200"/>
        <w:jc w:val="left"/>
        <w:rPr>
          <w:rFonts w:ascii="Times New Roman" w:hAnsi="Times New Roman" w:eastAsia="仿宋_GB2312" w:cs="Times New Roman"/>
          <w:color w:val="auto"/>
          <w:sz w:val="32"/>
          <w:szCs w:val="32"/>
        </w:rPr>
      </w:pPr>
      <w:r>
        <w:rPr>
          <w:rFonts w:hint="eastAsia" w:ascii="Times New Roman" w:hAnsi="Times New Roman" w:eastAsia="仿宋_GB2312" w:cs="Times New Roman"/>
          <w:sz w:val="32"/>
          <w:szCs w:val="32"/>
        </w:rPr>
        <w:t>2、加强组织市场监管管理，抓好各项工作落实。习近平总书记对食品药品监管提出要实行</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最严谨的标准、最严格的监管、最严厉的处罚、最严肃的问责</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四个最严</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要求也是做好市场监管工作的指南，所有市场监管人必须坚决遵守，坚决落实，把</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从严监管</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作为常态，贯穿于市场监管各个环节，</w:t>
      </w:r>
      <w:r>
        <w:rPr>
          <w:rFonts w:hint="eastAsia" w:ascii="Times New Roman" w:hAnsi="Times New Roman" w:eastAsia="仿宋_GB2312" w:cs="Times New Roman"/>
          <w:color w:val="auto"/>
          <w:sz w:val="32"/>
          <w:szCs w:val="32"/>
        </w:rPr>
        <w:t>做到专项项目有计划、有方案，确保不发生重大食品药品、特种设备安全事件，确保不发生区域性、行业性质量安全事件，确保不因处置不当引发社会不良反应。</w:t>
      </w:r>
    </w:p>
    <w:p>
      <w:pPr>
        <w:spacing w:line="5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color w:val="auto"/>
          <w:sz w:val="32"/>
          <w:szCs w:val="32"/>
        </w:rPr>
        <w:t>3、进一步强化绩效管理，做到</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三个全面</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，达到</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双监控</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要求。根据</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立项必花钱，花钱必有效，无效必问责</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的新财政资金管理要求，我</w:t>
      </w:r>
      <w:r>
        <w:rPr>
          <w:rFonts w:hint="eastAsia" w:ascii="Times New Roman" w:hAnsi="Times New Roman" w:eastAsia="仿宋_GB2312" w:cs="Times New Roman"/>
          <w:sz w:val="32"/>
          <w:szCs w:val="32"/>
        </w:rPr>
        <w:t>们做到事前、事中、事后要有跟踪绩效评价，做到及时发现在资金使用过程中存在的问题、解决问题，以提高资金使用效益。</w:t>
      </w:r>
    </w:p>
    <w:p>
      <w:pPr>
        <w:spacing w:line="500" w:lineRule="exact"/>
        <w:ind w:firstLine="640" w:firstLineChars="200"/>
        <w:jc w:val="left"/>
        <w:rPr>
          <w:rFonts w:ascii="Times New Roman" w:hAnsi="Times New Roman" w:eastAsia="仿宋_GB2312" w:cs="Times New Roman"/>
          <w:color w:val="auto"/>
          <w:sz w:val="32"/>
          <w:szCs w:val="32"/>
        </w:rPr>
      </w:pPr>
      <w:r>
        <w:rPr>
          <w:rFonts w:hint="eastAsia" w:ascii="Times New Roman" w:hAnsi="Times New Roman" w:eastAsia="仿宋_GB2312" w:cs="Times New Roman"/>
          <w:sz w:val="32"/>
          <w:szCs w:val="32"/>
        </w:rPr>
        <w:t>4、</w:t>
      </w:r>
      <w:r>
        <w:rPr>
          <w:rFonts w:hint="eastAsia" w:ascii="Times New Roman" w:hAnsi="Times New Roman" w:eastAsia="仿宋_GB2312" w:cs="Times New Roman"/>
          <w:color w:val="auto"/>
          <w:sz w:val="32"/>
          <w:szCs w:val="32"/>
        </w:rPr>
        <w:t>强化党风廉政建设，打造忠诚干净担当的干部队伍。我们必须坚持以案为鉴，始终绷紧廉洁自律这根弦，坚决推动全面从严治党向纵深发展，持续净化优化政治生态。具体做到：一是深入开展政治性警示教育。二是落实主体责任和</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一岗双责</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。三是坚持问题导向，以党风廉政建设全力推进工作。四是提高政治站位，推动</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不忘初心、牢记使命</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主题教育预热升温全面开展。</w:t>
      </w:r>
    </w:p>
    <w:p>
      <w:pPr>
        <w:spacing w:line="5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color w:val="auto"/>
          <w:sz w:val="32"/>
          <w:szCs w:val="32"/>
        </w:rPr>
        <w:t>5、创新消费维权机制，整合</w:t>
      </w:r>
      <w:r>
        <w:rPr>
          <w:rFonts w:ascii="Times New Roman" w:hAnsi="Times New Roman" w:eastAsia="仿宋_GB2312" w:cs="Times New Roman"/>
          <w:color w:val="auto"/>
          <w:sz w:val="32"/>
          <w:szCs w:val="32"/>
        </w:rPr>
        <w:t>12315</w:t>
      </w: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12365</w:t>
      </w: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12331</w:t>
      </w: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12330</w:t>
      </w: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12358</w:t>
      </w:r>
      <w:r>
        <w:rPr>
          <w:rFonts w:hint="eastAsia" w:ascii="Times New Roman" w:hAnsi="Times New Roman" w:eastAsia="仿宋_GB2312" w:cs="Times New Roman"/>
          <w:color w:val="auto"/>
          <w:sz w:val="32"/>
          <w:szCs w:val="32"/>
        </w:rPr>
        <w:t>等投诉平台，做到</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五线合一</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，畅通消费维权渠道。持续开展</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放心消费</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创建活动，推进消费环</w:t>
      </w:r>
      <w:r>
        <w:rPr>
          <w:rFonts w:hint="eastAsia" w:ascii="Times New Roman" w:hAnsi="Times New Roman" w:eastAsia="仿宋_GB2312" w:cs="Times New Roman"/>
          <w:sz w:val="32"/>
          <w:szCs w:val="32"/>
        </w:rPr>
        <w:t>境社会共治。加强缺陷产品召回行政监管体系建设，抓好缺陷消费品召回工作。</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6、提升科技支撑能力。加强信息化建设，整合网络、数据和应用系统，构建网络市场监管，提升</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智慧监管</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能力。加强技术能力建设，完善产业发展和区域定位相适应的标准、计量、认可、检验检测保障体系，完成对市场监管人员普遍培训一次目标，对重点企业、行业等从业技术人员进行有针对性的行业培训工作，提升基层业务素质水平和企业自我管理要求。</w:t>
      </w:r>
    </w:p>
    <w:p>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第二部分 资金绩效目标</w:t>
      </w:r>
    </w:p>
    <w:p>
      <w:pPr>
        <w:ind w:firstLine="562" w:firstLineChars="200"/>
        <w:jc w:val="left"/>
        <w:outlineLvl w:val="1"/>
        <w:rPr>
          <w:rFonts w:ascii="楷体_GB2312" w:hAnsi="Times New Roman" w:eastAsia="楷体_GB2312" w:cs="Times New Roman"/>
          <w:b/>
          <w:sz w:val="28"/>
        </w:rPr>
      </w:pPr>
    </w:p>
    <w:p>
      <w:pPr>
        <w:ind w:firstLine="562" w:firstLineChars="200"/>
        <w:jc w:val="left"/>
        <w:outlineLvl w:val="1"/>
        <w:rPr>
          <w:rFonts w:ascii="楷体_GB2312" w:hAnsi="Times New Roman" w:eastAsia="楷体_GB2312" w:cs="Times New Roman"/>
          <w:b/>
          <w:sz w:val="28"/>
        </w:rPr>
      </w:pPr>
    </w:p>
    <w:p>
      <w:pPr>
        <w:ind w:firstLine="562" w:firstLineChars="200"/>
        <w:jc w:val="left"/>
        <w:outlineLvl w:val="1"/>
        <w:rPr>
          <w:rFonts w:ascii="楷体_GB2312" w:hAnsi="Times New Roman" w:eastAsia="楷体_GB2312" w:cs="Times New Roman"/>
          <w:b/>
          <w:sz w:val="28"/>
        </w:rPr>
      </w:pPr>
    </w:p>
    <w:p>
      <w:pPr>
        <w:ind w:firstLine="562" w:firstLineChars="200"/>
        <w:jc w:val="left"/>
        <w:outlineLvl w:val="1"/>
        <w:rPr>
          <w:rFonts w:ascii="楷体_GB2312" w:hAnsi="Times New Roman" w:eastAsia="楷体_GB2312" w:cs="Times New Roman"/>
          <w:b/>
          <w:sz w:val="28"/>
        </w:r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1.</w:t>
      </w:r>
      <w:r>
        <w:rPr>
          <w:rFonts w:hint="eastAsia" w:ascii="楷体_GB2312" w:eastAsia="楷体_GB2312"/>
          <w:b/>
          <w:sz w:val="28"/>
        </w:rPr>
        <w:t xml:space="preserve"> 12315投诉举报中心平台建设项目经费</w:t>
      </w:r>
      <w:r>
        <w:rPr>
          <w:rFonts w:hint="eastAsia" w:ascii="楷体_GB2312" w:hAnsi="Times New Roman" w:eastAsia="楷体_GB2312" w:cs="Times New Roman"/>
          <w:b/>
          <w:sz w:val="28"/>
        </w:rPr>
        <w:t>绩效目标表</w:t>
      </w:r>
      <w:r>
        <w:rPr>
          <w:rFonts w:hint="eastAsia" w:ascii="楷体_GB2312" w:hAnsi="Times New Roman" w:eastAsia="楷体_GB2312" w:cs="Times New Roman"/>
          <w:b/>
          <w:sz w:val="28"/>
        </w:rPr>
        <w:fldChar w:fldCharType="begin"/>
      </w:r>
      <w:r>
        <w:rPr>
          <w:rFonts w:hint="eastAsia" w:ascii="楷体_GB2312" w:hAnsi="Times New Roman" w:eastAsia="楷体_GB2312" w:cs="Times New Roman"/>
          <w:b/>
          <w:sz w:val="28"/>
        </w:rPr>
        <w:instrText xml:space="preserve"> TC </w:instrText>
      </w:r>
      <w:bookmarkStart w:id="0" w:name="_Toc29799657"/>
      <w:r>
        <w:rPr>
          <w:rFonts w:hint="eastAsia" w:ascii="楷体_GB2312" w:hAnsi="Times New Roman" w:eastAsia="楷体_GB2312" w:cs="Times New Roman"/>
          <w:b/>
          <w:sz w:val="28"/>
        </w:rPr>
        <w:instrText xml:space="preserve">2、办公自动化（OA）和督查督办系统升级及推广费绩效目标表</w:instrText>
      </w:r>
      <w:bookmarkEnd w:id="0"/>
      <w:r>
        <w:rPr>
          <w:rFonts w:hint="eastAsia" w:ascii="楷体_GB2312" w:hAnsi="Times New Roman" w:eastAsia="楷体_GB2312" w:cs="Times New Roman"/>
          <w:b/>
          <w:sz w:val="28"/>
        </w:rPr>
        <w:instrText xml:space="preserve"> \f C \l 1 </w:instrText>
      </w:r>
      <w:r>
        <w:rPr>
          <w:rFonts w:hint="eastAsia" w:ascii="楷体_GB2312" w:hAnsi="Times New Roman" w:eastAsia="楷体_GB2312" w:cs="Times New Roman"/>
          <w:b/>
          <w:sz w:val="28"/>
        </w:rPr>
        <w:fldChar w:fldCharType="end"/>
      </w:r>
    </w:p>
    <w:p>
      <w:pPr>
        <w:spacing w:line="14" w:lineRule="exact"/>
        <w:ind w:firstLine="420" w:firstLineChars="200"/>
        <w:jc w:val="center"/>
        <w:rPr>
          <w:rFonts w:ascii="Times New Roman" w:hAnsi="Times New Roman" w:eastAsia="仿宋_GB2312" w:cs="Times New Roman"/>
        </w:rPr>
      </w:pPr>
      <w:r>
        <w:rPr>
          <w:rFonts w:ascii="Times New Roman" w:hAnsi="Times New Roman" w:eastAsia="仿宋_GB2312" w:cs="Times New Roman"/>
        </w:rPr>
        <w:t xml:space="preserve"> </w:t>
      </w:r>
    </w:p>
    <w:tbl>
      <w:tblPr>
        <w:tblStyle w:val="5"/>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2409"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1、通过项目的开展，创建“快捷、高效、便民”为目标，</w:t>
            </w:r>
            <w:r>
              <w:rPr>
                <w:rFonts w:ascii="方正书宋_GBK" w:eastAsia="方正书宋_GBK"/>
                <w:color w:val="000000" w:themeColor="text1"/>
              </w:rPr>
              <w:t>以服务</w:t>
            </w:r>
            <w:r>
              <w:rPr>
                <w:rFonts w:hint="eastAsia" w:ascii="方正书宋_GBK" w:eastAsia="方正书宋_GBK"/>
                <w:color w:val="000000" w:themeColor="text1"/>
              </w:rPr>
              <w:t>全</w:t>
            </w:r>
            <w:r>
              <w:rPr>
                <w:rFonts w:hint="eastAsia" w:ascii="宋体" w:hAnsi="宋体" w:eastAsia="宋体" w:cs="宋体"/>
                <w:color w:val="000000" w:themeColor="text1"/>
              </w:rPr>
              <w:t>市</w:t>
            </w:r>
            <w:r>
              <w:rPr>
                <w:rFonts w:ascii="方正书宋_GBK" w:eastAsia="方正书宋_GBK"/>
                <w:color w:val="000000" w:themeColor="text1"/>
              </w:rPr>
              <w:t>经济发展为己任，</w:t>
            </w:r>
            <w:r>
              <w:rPr>
                <w:rFonts w:ascii="方正书宋_GBK" w:eastAsia="方正书宋_GBK"/>
              </w:rPr>
              <w:t>中心全体工作人员凝聚团队精神，锐意进取、争创佳绩。</w:t>
            </w:r>
          </w:p>
          <w:p>
            <w:pPr>
              <w:spacing w:line="300" w:lineRule="exact"/>
              <w:rPr>
                <w:rFonts w:ascii="Times New Roman" w:hAnsi="Times New Roman" w:eastAsia="仿宋_GB2312" w:cs="Times New Roman"/>
                <w:b/>
              </w:rPr>
            </w:pPr>
            <w:r>
              <w:rPr>
                <w:rFonts w:ascii="方正书宋_GBK" w:eastAsia="方正书宋_GBK"/>
              </w:rPr>
              <w:t>2、通过项目的实施，进行投诉举报中心160㎡基础装修工作，购置举报中心信息系统1套、三级等保系统1套、拾音器2套、网络传输设备1项、监控摄像头2套，确保基础装修验收及时通过，办公设备验收及时通过，保障受理举报投诉咨询案件办结率≥95%，，举报中心信息系统正常运转，网络设施家具正常使用，以此创建“快捷、高效、便民”的市12315投诉举报中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基础装修面积数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考察基础装修情况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160㎡</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项目立项清单、工作计划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拾音器购置数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考察拾音器购置情况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2套</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项目立项清单、工作计划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业务系统服务器购置数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考察业务系统服务器购置情况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1台</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项目立项清单、工作计划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举报中心信息系统购置数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考察举报中心信息系统购置情况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1套</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项目立项清单、工作计划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三级等保系统购置数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考察三级等保系统购置情况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1套</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项目立项清单、工作计划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传输网络设备购置数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考察传输网络设备购置数量情况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1项</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项目立项清单、工作计划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监控摄像头购置数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考察监控摄像头购置情况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2套</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项目立项清单、工作计划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基础装修验收通过率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考察基础装修验收情况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实体完工，竣工验收报告、建设明细表，售后维护承诺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拾音器验收通过率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考察拾音器验收通过情况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实体完工，竣工验收报告、建设明细表，售后维护承诺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信息系统及配套设施验收通过率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考察信息系统及配套设施验收情况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验收报告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三级等保系统验收通过率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w:t>
            </w:r>
            <w:r>
              <w:rPr>
                <w:rFonts w:ascii="方正书宋_GBK" w:eastAsia="方正书宋_GBK"/>
                <w:i/>
                <w:iCs/>
              </w:rPr>
              <w:t>察三级等保系统验收情况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验收报告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传输网络设备购验收通过率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考察传输网络设备验收情况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入库验收单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基础装修完工及时性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考察基础装修完工及时验收及时程度</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财务支出凭证，验收单据、银行流水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拾音器置及时性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考察拾音器购置及时验收及时程度</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财务支出凭证，验收单据、银行流水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信息系统及配套设施购置及时性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考察信息系统及配套设施验收及时程度</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财务支出凭证，验收单据、银行流水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三级等保系统购置及时性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考察三级等保系统验收及时程度</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财务支出凭证，验收单据、银行流水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传输网络设备购置及时性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考察传输网络设备购置及时程度</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财务支出凭证，验收单据、银行流水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受理举报投诉咨询案件办结率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考察受理投诉咨询案件办理办结情况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≥95百分比</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举报中心信息库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举报中心信息系统正常运行率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考察中心信息系统正常运行情况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≥95百分比</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故障记录，维修记录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网络设施家具使用率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考察网络设施使用情况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≥95百分比</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现场调研表、固定资产盘点表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长效管理机制健全性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考察长效管理机制健全程度</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健全</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长效管理制度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配套设施完备性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考察配套设施完备程度</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完备</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配套设施盘点表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档案管理机制健全性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考察档案管理机制健全程度及归档文件完整性</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健全</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档案管理制度、归档文件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群众满意度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考察消费者群众对12315投诉举报中心项目的满意度</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≥90百分比</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问卷调查</w:t>
            </w:r>
          </w:p>
        </w:tc>
      </w:tr>
    </w:tbl>
    <w:p>
      <w:pPr>
        <w:ind w:firstLine="562" w:firstLineChars="200"/>
        <w:jc w:val="left"/>
        <w:outlineLvl w:val="1"/>
        <w:rPr>
          <w:rFonts w:ascii="楷体_GB2312" w:hAnsi="Times New Roman" w:eastAsia="楷体_GB2312" w:cs="Times New Roman"/>
          <w:b/>
          <w:sz w:val="28"/>
        </w:rPr>
      </w:pPr>
      <w:r>
        <w:rPr>
          <w:rFonts w:ascii="楷体_GB2312" w:hAnsi="Times New Roman" w:eastAsia="楷体_GB2312" w:cs="Times New Roman"/>
          <w:b/>
          <w:sz w:val="28"/>
        </w:rPr>
        <w:t>2. 办公楼改造维修资金绩效目标表</w:t>
      </w:r>
      <w:r>
        <w:rPr>
          <w:rFonts w:ascii="楷体_GB2312" w:hAnsi="Times New Roman" w:eastAsia="楷体_GB2312" w:cs="Times New Roman"/>
          <w:b/>
          <w:sz w:val="28"/>
        </w:rPr>
        <w:fldChar w:fldCharType="begin"/>
      </w:r>
      <w:r>
        <w:rPr>
          <w:rFonts w:ascii="楷体_GB2312" w:hAnsi="Times New Roman" w:eastAsia="楷体_GB2312" w:cs="Times New Roman"/>
          <w:b/>
          <w:sz w:val="28"/>
        </w:rPr>
        <w:instrText xml:space="preserve"> TC 2、办公自动化（OA）和督查督办系统升级及推广费绩效目标表 \f C \l 1 </w:instrText>
      </w:r>
      <w:r>
        <w:rPr>
          <w:rFonts w:ascii="楷体_GB2312" w:hAnsi="Times New Roman" w:eastAsia="楷体_GB2312" w:cs="Times New Roman"/>
          <w:b/>
          <w:sz w:val="28"/>
        </w:rPr>
        <w:fldChar w:fldCharType="end"/>
      </w:r>
    </w:p>
    <w:p>
      <w:pPr>
        <w:spacing w:line="14" w:lineRule="exact"/>
        <w:ind w:firstLine="420" w:firstLineChars="200"/>
        <w:jc w:val="center"/>
        <w:rPr>
          <w:rFonts w:ascii="Times New Roman" w:hAnsi="Times New Roman" w:eastAsia="仿宋_GB2312" w:cs="Times New Roman"/>
        </w:rPr>
      </w:pPr>
      <w:r>
        <w:rPr>
          <w:rFonts w:ascii="Times New Roman" w:hAnsi="Times New Roman" w:eastAsia="仿宋_GB2312" w:cs="Times New Roman"/>
        </w:rPr>
        <w:t xml:space="preserve"> </w:t>
      </w:r>
    </w:p>
    <w:tbl>
      <w:tblPr>
        <w:tblStyle w:val="5"/>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1、保障老干部党支部会议和组织生活以及日常活动20会次以上、人员300人次以上</w:t>
            </w:r>
          </w:p>
          <w:p>
            <w:pPr>
              <w:spacing w:line="300" w:lineRule="exact"/>
              <w:rPr>
                <w:rFonts w:ascii="Times New Roman" w:hAnsi="Times New Roman" w:eastAsia="仿宋_GB2312" w:cs="Times New Roman"/>
                <w:b/>
              </w:rPr>
            </w:pPr>
            <w:r>
              <w:rPr>
                <w:rFonts w:ascii="方正书宋_GBK" w:eastAsia="方正书宋_GBK"/>
              </w:rPr>
              <w:t>2、改善退休干部职工的活动场地设施。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装修面积</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考察装修面积数量情况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400平方米</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采购健身器材数量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考察采购健身器材数量情况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28套</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装修验收通过率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考察装修验收通过情况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装修验收标准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采购器材验收通过率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考察采购验收通过情况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中心成立</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6月</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≤6月份</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单位成本</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装修标准</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≤1293元/平米</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市场询价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采购总成本</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采购</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≤8.52万元</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长期保障社会稳定</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保障老干部党支部会议和组织生活</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长期</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社会稳定</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改善退休干部职工的活动场地，保障退休干部职工需求，提升社会稳定</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提升稳定</w:t>
            </w:r>
          </w:p>
          <w:p>
            <w:pPr>
              <w:spacing w:line="300" w:lineRule="exact"/>
              <w:jc w:val="left"/>
              <w:rPr>
                <w:rFonts w:ascii="方正书宋_GBK" w:eastAsia="方正书宋_GBK"/>
              </w:rPr>
            </w:pP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长期保障社会稳定</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保障老干部党支部会议和组织生活</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长期</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退休干部职工满意度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走访退休干部职工反馈</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w:t>
            </w:r>
          </w:p>
        </w:tc>
        <w:tc>
          <w:tcPr>
            <w:tcW w:w="2155"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bl>
    <w:p>
      <w:pPr>
        <w:ind w:firstLine="562" w:firstLineChars="200"/>
        <w:jc w:val="left"/>
        <w:outlineLvl w:val="1"/>
        <w:rPr>
          <w:rFonts w:ascii="楷体_GB2312" w:hAnsi="Times New Roman" w:eastAsia="楷体_GB2312" w:cs="Times New Roman"/>
          <w:b/>
          <w:sz w:val="28"/>
        </w:rPr>
      </w:pPr>
    </w:p>
    <w:p>
      <w:pPr>
        <w:ind w:firstLine="562" w:firstLineChars="200"/>
        <w:jc w:val="left"/>
        <w:outlineLvl w:val="1"/>
        <w:rPr>
          <w:rFonts w:ascii="楷体_GB2312" w:hAnsi="Times New Roman" w:eastAsia="楷体_GB2312" w:cs="Times New Roman"/>
          <w:b/>
          <w:sz w:val="28"/>
        </w:rPr>
      </w:pPr>
    </w:p>
    <w:p>
      <w:pPr>
        <w:ind w:firstLine="562" w:firstLineChars="200"/>
        <w:jc w:val="left"/>
        <w:outlineLvl w:val="1"/>
        <w:rPr>
          <w:rFonts w:ascii="楷体_GB2312" w:hAnsi="Times New Roman" w:eastAsia="楷体_GB2312" w:cs="Times New Roman"/>
          <w:b/>
          <w:sz w:val="28"/>
        </w:rPr>
      </w:pPr>
    </w:p>
    <w:p>
      <w:pPr>
        <w:ind w:firstLine="562" w:firstLineChars="200"/>
        <w:jc w:val="left"/>
        <w:outlineLvl w:val="1"/>
        <w:rPr>
          <w:rFonts w:ascii="楷体_GB2312" w:hAnsi="Times New Roman" w:eastAsia="楷体_GB2312" w:cs="Times New Roman"/>
          <w:b/>
          <w:sz w:val="28"/>
        </w:r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3</w:t>
      </w:r>
      <w:r>
        <w:rPr>
          <w:rFonts w:ascii="楷体_GB2312" w:hAnsi="Times New Roman" w:eastAsia="楷体_GB2312" w:cs="Times New Roman"/>
          <w:b/>
          <w:sz w:val="28"/>
        </w:rPr>
        <w:t>.驰名商标奖励经费绩效目标表</w:t>
      </w:r>
    </w:p>
    <w:p>
      <w:pPr>
        <w:spacing w:line="14" w:lineRule="exact"/>
        <w:ind w:firstLine="420" w:firstLineChars="200"/>
        <w:jc w:val="center"/>
        <w:rPr>
          <w:rFonts w:ascii="Times New Roman" w:hAnsi="宋体" w:eastAsia="宋体"/>
        </w:rPr>
      </w:pPr>
    </w:p>
    <w:tbl>
      <w:tblPr>
        <w:tblStyle w:val="5"/>
        <w:tblW w:w="142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10"/>
        <w:gridCol w:w="2268"/>
        <w:gridCol w:w="1985"/>
        <w:gridCol w:w="3402"/>
        <w:gridCol w:w="1843"/>
        <w:gridCol w:w="212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10" w:type="dxa"/>
            <w:shd w:val="clear" w:color="auto" w:fill="auto"/>
            <w:vAlign w:val="center"/>
          </w:tcPr>
          <w:p>
            <w:pPr>
              <w:spacing w:line="300" w:lineRule="exact"/>
              <w:jc w:val="center"/>
              <w:rPr>
                <w:rFonts w:ascii="方正书宋_GBK" w:hAnsi="Calibri" w:eastAsia="方正书宋_GBK" w:cs="Times New Roman"/>
                <w:b/>
              </w:rPr>
            </w:pPr>
            <w:r>
              <w:rPr>
                <w:rFonts w:ascii="方正书宋_GBK" w:hAnsi="Calibri" w:eastAsia="方正书宋_GBK" w:cs="Times New Roman"/>
                <w:b/>
              </w:rPr>
              <w:t>绩效目标</w:t>
            </w:r>
          </w:p>
        </w:tc>
        <w:tc>
          <w:tcPr>
            <w:tcW w:w="11624" w:type="dxa"/>
            <w:gridSpan w:val="5"/>
            <w:shd w:val="clear" w:color="auto" w:fill="auto"/>
            <w:vAlign w:val="center"/>
          </w:tcPr>
          <w:p>
            <w:pPr>
              <w:spacing w:line="300" w:lineRule="exact"/>
              <w:jc w:val="left"/>
              <w:rPr>
                <w:rFonts w:ascii="方正书宋_GBK" w:hAnsi="Calibri" w:eastAsia="方正书宋_GBK" w:cs="Times New Roman"/>
              </w:rPr>
            </w:pPr>
            <w:r>
              <w:rPr>
                <w:rFonts w:ascii="方正书宋_GBK" w:hAnsi="Calibri" w:eastAsia="方正书宋_GBK" w:cs="Times New Roman"/>
              </w:rPr>
              <w:t>1、通过项目开展，加强知识产权管理，促进知识产权运用，加大知识产权保护力度；加强知识产权宣传培训，加快知识产权服务业发展。</w:t>
            </w:r>
          </w:p>
          <w:p>
            <w:pPr>
              <w:spacing w:line="300" w:lineRule="exact"/>
              <w:jc w:val="left"/>
              <w:rPr>
                <w:rFonts w:ascii="方正书宋_GBK" w:eastAsia="方正书宋_GBK"/>
                <w:b/>
              </w:rPr>
            </w:pPr>
            <w:r>
              <w:rPr>
                <w:rFonts w:ascii="方正书宋_GBK" w:hAnsi="Calibri" w:eastAsia="方正书宋_GBK" w:cs="Times New Roman"/>
              </w:rPr>
              <w:t>2、通过项目实施，完成2个认定驰名商标及奖励发放工作，确保认定驰名商标准确率达到100%，达到知识产权投诉完结率为100%的目标。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10"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26"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10"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认定驰名商标个数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考察认定驰名商标个数情况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2个</w:t>
            </w:r>
          </w:p>
        </w:tc>
        <w:tc>
          <w:tcPr>
            <w:tcW w:w="2126"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10"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认定驰名商标准确率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考察认定驰名商标准确性情况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26" w:type="dxa"/>
            <w:shd w:val="clear" w:color="auto" w:fill="auto"/>
            <w:vAlign w:val="center"/>
          </w:tcPr>
          <w:p>
            <w:pPr>
              <w:spacing w:line="300" w:lineRule="exact"/>
              <w:jc w:val="left"/>
              <w:rPr>
                <w:rFonts w:ascii="方正书宋_GBK" w:eastAsia="方正书宋_GBK"/>
              </w:rPr>
            </w:pPr>
            <w:r>
              <w:rPr>
                <w:rFonts w:ascii="方正书宋_GBK" w:eastAsia="方正书宋_GBK"/>
              </w:rPr>
              <w:t>《关于开展质量提升行动加快质量强势建设的实施意见》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10"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认定驰名商标及时性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考察认定驰名商标及时性情况</w:t>
            </w:r>
          </w:p>
        </w:tc>
        <w:tc>
          <w:tcPr>
            <w:tcW w:w="1843" w:type="dxa"/>
            <w:shd w:val="clear" w:color="auto" w:fill="auto"/>
            <w:vAlign w:val="center"/>
          </w:tcPr>
          <w:p>
            <w:pPr>
              <w:spacing w:line="300" w:lineRule="exact"/>
              <w:jc w:val="left"/>
              <w:rPr>
                <w:rFonts w:ascii="方正书宋_GBK" w:eastAsia="方正书宋_GBK"/>
                <w:color w:val="FF0000"/>
              </w:rPr>
            </w:pPr>
            <w:bookmarkStart w:id="4" w:name="_GoBack"/>
            <w:r>
              <w:rPr>
                <w:rFonts w:ascii="方正书宋_GBK" w:eastAsia="方正书宋_GBK"/>
                <w:color w:val="auto"/>
              </w:rPr>
              <w:t>月</w:t>
            </w:r>
            <w:bookmarkEnd w:id="4"/>
          </w:p>
        </w:tc>
        <w:tc>
          <w:tcPr>
            <w:tcW w:w="2126"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10"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≤100万</w:t>
            </w:r>
          </w:p>
        </w:tc>
        <w:tc>
          <w:tcPr>
            <w:tcW w:w="2126"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10" w:type="dxa"/>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档案关管理机制健全性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考察档案管理机制健全情况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健全</w:t>
            </w:r>
          </w:p>
        </w:tc>
        <w:tc>
          <w:tcPr>
            <w:tcW w:w="2126"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10"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企业满意度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考察企业满意情况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≥95百分比</w:t>
            </w:r>
          </w:p>
        </w:tc>
        <w:tc>
          <w:tcPr>
            <w:tcW w:w="2126"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4</w:t>
      </w:r>
      <w:r>
        <w:rPr>
          <w:rFonts w:ascii="楷体_GB2312" w:hAnsi="Times New Roman" w:eastAsia="楷体_GB2312" w:cs="Times New Roman"/>
          <w:b/>
          <w:sz w:val="28"/>
        </w:rPr>
        <w:t>、打击非法传销工作及奖励经费绩效目标表</w:t>
      </w:r>
    </w:p>
    <w:p>
      <w:pPr>
        <w:spacing w:line="14" w:lineRule="exact"/>
        <w:ind w:firstLine="420" w:firstLineChars="200"/>
        <w:jc w:val="center"/>
        <w:rPr>
          <w:rFonts w:ascii="Times New Roman" w:hAnsi="宋体" w:eastAsia="宋体"/>
        </w:rPr>
      </w:pPr>
    </w:p>
    <w:tbl>
      <w:tblPr>
        <w:tblStyle w:val="5"/>
        <w:tblW w:w="1422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21"/>
        <w:gridCol w:w="2268"/>
        <w:gridCol w:w="1985"/>
        <w:gridCol w:w="3402"/>
        <w:gridCol w:w="1843"/>
        <w:gridCol w:w="220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521" w:type="dxa"/>
            <w:shd w:val="clear" w:color="auto" w:fill="auto"/>
            <w:vAlign w:val="center"/>
          </w:tcPr>
          <w:p>
            <w:pPr>
              <w:spacing w:line="300" w:lineRule="exact"/>
              <w:jc w:val="center"/>
              <w:rPr>
                <w:rFonts w:ascii="方正书宋_GBK" w:hAnsi="Calibri" w:eastAsia="方正书宋_GBK" w:cs="Times New Roman"/>
                <w:b/>
              </w:rPr>
            </w:pPr>
            <w:r>
              <w:rPr>
                <w:rFonts w:ascii="方正书宋_GBK" w:hAnsi="Calibri" w:eastAsia="方正书宋_GBK" w:cs="Times New Roman"/>
                <w:b/>
              </w:rPr>
              <w:t>绩效目标</w:t>
            </w:r>
          </w:p>
        </w:tc>
        <w:tc>
          <w:tcPr>
            <w:tcW w:w="11706" w:type="dxa"/>
            <w:gridSpan w:val="5"/>
            <w:shd w:val="clear" w:color="auto" w:fill="auto"/>
            <w:vAlign w:val="center"/>
          </w:tcPr>
          <w:p>
            <w:pPr>
              <w:spacing w:line="300" w:lineRule="exact"/>
              <w:jc w:val="left"/>
              <w:rPr>
                <w:rFonts w:ascii="方正书宋_GBK" w:hAnsi="Calibri" w:eastAsia="方正书宋_GBK" w:cs="Times New Roman"/>
              </w:rPr>
            </w:pPr>
            <w:r>
              <w:rPr>
                <w:rFonts w:ascii="方正书宋_GBK" w:hAnsi="Calibri" w:eastAsia="方正书宋_GBK" w:cs="Times New Roman"/>
              </w:rPr>
              <w:t>1、通过项目开展，加大反不正当竞争执法工作的力度，提高广大群众防范和抵制传销的能力，更好地维护市场经济和社会秩序。</w:t>
            </w:r>
          </w:p>
          <w:p>
            <w:pPr>
              <w:spacing w:line="300" w:lineRule="exact"/>
              <w:jc w:val="left"/>
              <w:rPr>
                <w:rFonts w:ascii="方正书宋_GBK" w:hAnsi="Calibri" w:eastAsia="方正书宋_GBK" w:cs="Times New Roman"/>
              </w:rPr>
            </w:pPr>
            <w:r>
              <w:rPr>
                <w:rFonts w:ascii="方正书宋_GBK" w:hAnsi="Calibri" w:eastAsia="方正书宋_GBK" w:cs="Times New Roman"/>
              </w:rPr>
              <w:t>2、通过项目的实施，及时开展宣传活动不少于5次，2个媒体平台进行宣传，100%准确发放举报奖励，达到打击非法传销工作覆盖率大于等于90%的目标，提高社会的安全稳定性。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521"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208"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21"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宣传活动开展次数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考察宣传活动开展数量情况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≥5次</w:t>
            </w:r>
          </w:p>
        </w:tc>
        <w:tc>
          <w:tcPr>
            <w:tcW w:w="2208"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21"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举报奖励发放准确率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考察举报奖励发放准确性情况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2个</w:t>
            </w:r>
          </w:p>
        </w:tc>
        <w:tc>
          <w:tcPr>
            <w:tcW w:w="2208" w:type="dxa"/>
            <w:shd w:val="clear" w:color="auto" w:fill="auto"/>
            <w:vAlign w:val="center"/>
          </w:tcPr>
          <w:p>
            <w:pPr>
              <w:spacing w:line="300" w:lineRule="exact"/>
              <w:jc w:val="left"/>
              <w:rPr>
                <w:rFonts w:ascii="方正书宋_GBK" w:eastAsia="方正书宋_GBK"/>
              </w:rPr>
            </w:pPr>
            <w:r>
              <w:rPr>
                <w:rFonts w:ascii="方正书宋_GBK" w:eastAsia="方正书宋_GBK"/>
              </w:rPr>
              <w:t>《廊坊市打击传销举报奖励办法》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21"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宣传活动开展及时性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考察宣传活动及时性情况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208"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21"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打击非法传销工作成本控制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考察打击非法传销工作成本控制情况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≤92万元</w:t>
            </w:r>
          </w:p>
        </w:tc>
        <w:tc>
          <w:tcPr>
            <w:tcW w:w="2208"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21"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打击非法传销工作覆盖率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考察打击非法传销工作覆盖情况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≥90百分比</w:t>
            </w:r>
          </w:p>
        </w:tc>
        <w:tc>
          <w:tcPr>
            <w:tcW w:w="2208" w:type="dxa"/>
            <w:shd w:val="clear" w:color="auto" w:fill="auto"/>
            <w:vAlign w:val="center"/>
          </w:tcPr>
          <w:p>
            <w:pPr>
              <w:spacing w:line="300" w:lineRule="exact"/>
              <w:jc w:val="left"/>
              <w:rPr>
                <w:rFonts w:ascii="方正书宋_GBK" w:eastAsia="方正书宋_GBK"/>
              </w:rPr>
            </w:pPr>
            <w:r>
              <w:rPr>
                <w:rFonts w:ascii="方正书宋_GBK" w:eastAsia="方正书宋_GBK"/>
              </w:rPr>
              <w:t>《2019年“护民生 促和谐”打击整治传销专项行动工作方案》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21"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提高社会的安全稳定性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考察提高社会的安全稳定性情况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提高</w:t>
            </w:r>
          </w:p>
        </w:tc>
        <w:tc>
          <w:tcPr>
            <w:tcW w:w="2208"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21"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居民满意度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考察群众满意情况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w:t>
            </w:r>
          </w:p>
        </w:tc>
        <w:tc>
          <w:tcPr>
            <w:tcW w:w="2208" w:type="dxa"/>
            <w:shd w:val="clear" w:color="auto" w:fill="auto"/>
            <w:vAlign w:val="center"/>
          </w:tcPr>
          <w:p>
            <w:pPr>
              <w:spacing w:line="300" w:lineRule="exact"/>
              <w:jc w:val="left"/>
              <w:rPr>
                <w:rFonts w:ascii="方正书宋_GBK" w:eastAsia="方正书宋_GBK"/>
              </w:rPr>
            </w:pPr>
            <w:r>
              <w:rPr>
                <w:rFonts w:ascii="方正书宋_GBK" w:eastAsia="方正书宋_GBK"/>
              </w:rPr>
              <w:t>调查问卷</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5</w:t>
      </w:r>
      <w:r>
        <w:rPr>
          <w:rFonts w:ascii="楷体_GB2312" w:hAnsi="Times New Roman" w:eastAsia="楷体_GB2312" w:cs="Times New Roman"/>
          <w:b/>
          <w:sz w:val="28"/>
        </w:rPr>
        <w:t>、大气治理经费绩效目标表</w:t>
      </w:r>
    </w:p>
    <w:p>
      <w:pPr>
        <w:spacing w:line="14" w:lineRule="exact"/>
        <w:ind w:firstLine="420" w:firstLineChars="200"/>
        <w:jc w:val="center"/>
        <w:rPr>
          <w:rFonts w:ascii="Times New Roman" w:hAnsi="宋体" w:eastAsia="宋体"/>
        </w:rPr>
      </w:pPr>
    </w:p>
    <w:tbl>
      <w:tblPr>
        <w:tblStyle w:val="5"/>
        <w:tblW w:w="142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42"/>
        <w:gridCol w:w="2268"/>
        <w:gridCol w:w="1985"/>
        <w:gridCol w:w="3402"/>
        <w:gridCol w:w="1843"/>
        <w:gridCol w:w="222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542" w:type="dxa"/>
            <w:shd w:val="clear" w:color="auto" w:fill="auto"/>
            <w:vAlign w:val="center"/>
          </w:tcPr>
          <w:p>
            <w:pPr>
              <w:spacing w:line="300" w:lineRule="exact"/>
              <w:jc w:val="center"/>
              <w:rPr>
                <w:rFonts w:ascii="方正书宋_GBK" w:hAnsi="Calibri" w:eastAsia="方正书宋_GBK" w:cs="Times New Roman"/>
                <w:b/>
              </w:rPr>
            </w:pPr>
            <w:r>
              <w:rPr>
                <w:rFonts w:ascii="方正书宋_GBK" w:hAnsi="Calibri" w:eastAsia="方正书宋_GBK" w:cs="Times New Roman"/>
                <w:b/>
              </w:rPr>
              <w:t>绩效目标</w:t>
            </w:r>
          </w:p>
        </w:tc>
        <w:tc>
          <w:tcPr>
            <w:tcW w:w="11727" w:type="dxa"/>
            <w:gridSpan w:val="5"/>
            <w:shd w:val="clear" w:color="auto" w:fill="auto"/>
            <w:vAlign w:val="center"/>
          </w:tcPr>
          <w:p>
            <w:pPr>
              <w:spacing w:line="300" w:lineRule="exact"/>
              <w:jc w:val="left"/>
              <w:rPr>
                <w:rFonts w:ascii="方正书宋_GBK" w:hAnsi="Calibri" w:eastAsia="方正书宋_GBK" w:cs="Times New Roman"/>
              </w:rPr>
            </w:pPr>
            <w:r>
              <w:rPr>
                <w:rFonts w:ascii="方正书宋_GBK" w:hAnsi="Calibri" w:eastAsia="方正书宋_GBK" w:cs="Times New Roman"/>
              </w:rPr>
              <w:t>1、开展本项目，为规范成品油及散煤市场秩序，改善空气质量。</w:t>
            </w:r>
          </w:p>
          <w:p>
            <w:pPr>
              <w:spacing w:line="300" w:lineRule="exact"/>
              <w:jc w:val="left"/>
              <w:rPr>
                <w:rFonts w:ascii="方正书宋_GBK" w:hAnsi="Calibri" w:eastAsia="方正书宋_GBK" w:cs="Times New Roman"/>
              </w:rPr>
            </w:pPr>
            <w:r>
              <w:rPr>
                <w:rFonts w:ascii="方正书宋_GBK" w:hAnsi="Calibri" w:eastAsia="方正书宋_GBK" w:cs="Times New Roman"/>
              </w:rPr>
              <w:t>2、通过项目的实施，完成油品抽检200批次，维护成品油及散煤市场经营秩序，提高空气质量。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542"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229"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42"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抽检批次</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考察对辖区内加油站点进行油品抽检数量情况</w:t>
            </w:r>
            <w:r>
              <w:rPr>
                <w:rFonts w:ascii="方正书宋_GBK" w:eastAsia="方正书宋_GBK"/>
              </w:rPr>
              <w:tab/>
            </w:r>
            <w:r>
              <w:rPr>
                <w:rFonts w:ascii="方正书宋_GBK" w:eastAsia="方正书宋_GBK"/>
              </w:rPr>
              <w:tab/>
            </w:r>
          </w:p>
          <w:p>
            <w:pPr>
              <w:spacing w:line="300" w:lineRule="exact"/>
              <w:jc w:val="left"/>
              <w:rPr>
                <w:rFonts w:ascii="方正书宋_GBK" w:eastAsia="方正书宋_GBK"/>
              </w:rPr>
            </w:pPr>
            <w:r>
              <w:rPr>
                <w:rFonts w:ascii="方正书宋_GBK" w:eastAsia="方正书宋_GBK"/>
              </w:rPr>
              <w:tab/>
            </w:r>
          </w:p>
          <w:p>
            <w:pPr>
              <w:spacing w:line="300" w:lineRule="exact"/>
              <w:jc w:val="left"/>
              <w:rPr>
                <w:rFonts w:ascii="方正书宋_GBK" w:eastAsia="方正书宋_GBK"/>
              </w:rPr>
            </w:pPr>
          </w:p>
        </w:tc>
        <w:tc>
          <w:tcPr>
            <w:tcW w:w="1843" w:type="dxa"/>
            <w:shd w:val="clear" w:color="auto" w:fill="auto"/>
            <w:vAlign w:val="center"/>
          </w:tcPr>
          <w:p>
            <w:pPr>
              <w:spacing w:line="300" w:lineRule="exact"/>
              <w:jc w:val="left"/>
              <w:rPr>
                <w:rFonts w:ascii="方正书宋_GBK" w:eastAsia="方正书宋_GBK"/>
              </w:rPr>
            </w:pPr>
            <w:r>
              <w:rPr>
                <w:rFonts w:hint="eastAsia" w:ascii="方正书宋_GBK" w:eastAsia="方正书宋_GBK"/>
                <w:color w:val="000000" w:themeColor="text1"/>
                <w:lang w:val="en-US" w:eastAsia="zh-CN"/>
              </w:rPr>
              <w:t>200</w:t>
            </w:r>
            <w:r>
              <w:rPr>
                <w:rFonts w:ascii="方正书宋_GBK" w:eastAsia="方正书宋_GBK"/>
              </w:rPr>
              <w:t>批次</w:t>
            </w:r>
          </w:p>
        </w:tc>
        <w:tc>
          <w:tcPr>
            <w:tcW w:w="2229" w:type="dxa"/>
            <w:shd w:val="clear" w:color="auto" w:fill="auto"/>
            <w:vAlign w:val="center"/>
          </w:tcPr>
          <w:p>
            <w:pPr>
              <w:spacing w:line="300" w:lineRule="exact"/>
              <w:jc w:val="left"/>
              <w:rPr>
                <w:rFonts w:ascii="方正书宋_GBK" w:eastAsia="方正书宋_GBK"/>
              </w:rPr>
            </w:pPr>
            <w:r>
              <w:rPr>
                <w:rFonts w:ascii="方正书宋_GBK" w:eastAsia="方正书宋_GBK"/>
              </w:rPr>
              <w:t>《2019年加强散煤管控和成品油整治专项方案》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42"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抽检不合格产品率</w:t>
            </w:r>
          </w:p>
        </w:tc>
        <w:tc>
          <w:tcPr>
            <w:tcW w:w="3402" w:type="dxa"/>
            <w:shd w:val="clear" w:color="auto" w:fill="auto"/>
            <w:vAlign w:val="center"/>
          </w:tcPr>
          <w:p>
            <w:pPr>
              <w:spacing w:line="300" w:lineRule="exact"/>
              <w:jc w:val="left"/>
              <w:rPr>
                <w:rFonts w:ascii="方正书宋_GBK" w:eastAsia="方正书宋_GBK"/>
              </w:rPr>
            </w:pPr>
          </w:p>
          <w:p>
            <w:pPr>
              <w:spacing w:line="300" w:lineRule="exact"/>
              <w:jc w:val="left"/>
              <w:rPr>
                <w:rFonts w:ascii="方正书宋_GBK" w:eastAsia="方正书宋_GBK"/>
              </w:rPr>
            </w:pPr>
            <w:r>
              <w:rPr>
                <w:rFonts w:ascii="方正书宋_GBK" w:eastAsia="方正书宋_GBK"/>
              </w:rPr>
              <w:t>考察查处不合格产品质量情况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≤5%</w:t>
            </w:r>
          </w:p>
        </w:tc>
        <w:tc>
          <w:tcPr>
            <w:tcW w:w="2229"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42"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抽检及时性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考察抽检及时情况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229"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42"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抽检成本控制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ab/>
            </w:r>
          </w:p>
          <w:p>
            <w:pPr>
              <w:spacing w:line="300" w:lineRule="exact"/>
              <w:jc w:val="left"/>
              <w:rPr>
                <w:rFonts w:ascii="方正书宋_GBK" w:eastAsia="方正书宋_GBK"/>
              </w:rPr>
            </w:pPr>
            <w:r>
              <w:rPr>
                <w:rFonts w:ascii="方正书宋_GBK" w:eastAsia="方正书宋_GBK"/>
              </w:rPr>
              <w:t>考察抽检成本控制情况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≤90万元</w:t>
            </w:r>
          </w:p>
        </w:tc>
        <w:tc>
          <w:tcPr>
            <w:tcW w:w="2229"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42"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提高成品油质量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考察提高成品油质量情况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提高</w:t>
            </w:r>
          </w:p>
          <w:p>
            <w:pPr>
              <w:spacing w:line="300" w:lineRule="exact"/>
              <w:jc w:val="left"/>
              <w:rPr>
                <w:rFonts w:ascii="方正书宋_GBK" w:eastAsia="方正书宋_GBK"/>
              </w:rPr>
            </w:pPr>
          </w:p>
        </w:tc>
        <w:tc>
          <w:tcPr>
            <w:tcW w:w="2229"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42"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生态效益指标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空气质量提高</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考察客气质量提高情况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提高</w:t>
            </w:r>
          </w:p>
          <w:p>
            <w:pPr>
              <w:spacing w:line="300" w:lineRule="exact"/>
              <w:jc w:val="left"/>
              <w:rPr>
                <w:rFonts w:ascii="方正书宋_GBK" w:eastAsia="方正书宋_GBK"/>
              </w:rPr>
            </w:pPr>
          </w:p>
        </w:tc>
        <w:tc>
          <w:tcPr>
            <w:tcW w:w="2229"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42"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市民满意度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考察市民满意情况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≥80%</w:t>
            </w:r>
          </w:p>
        </w:tc>
        <w:tc>
          <w:tcPr>
            <w:tcW w:w="2229"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6</w:t>
      </w:r>
      <w:r>
        <w:rPr>
          <w:rFonts w:ascii="楷体_GB2312" w:hAnsi="Times New Roman" w:eastAsia="楷体_GB2312" w:cs="Times New Roman"/>
          <w:b/>
          <w:sz w:val="28"/>
        </w:rPr>
        <w:t>、电梯应急处置服务平台运转经费绩效目标表</w:t>
      </w:r>
    </w:p>
    <w:p>
      <w:pPr>
        <w:spacing w:line="14" w:lineRule="exact"/>
        <w:ind w:firstLine="420" w:firstLineChars="200"/>
        <w:jc w:val="center"/>
        <w:rPr>
          <w:rFonts w:ascii="Times New Roman" w:hAnsi="宋体" w:eastAsia="宋体"/>
        </w:rPr>
      </w:pPr>
    </w:p>
    <w:tbl>
      <w:tblPr>
        <w:tblStyle w:val="5"/>
        <w:tblW w:w="1425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3"/>
        <w:gridCol w:w="2268"/>
        <w:gridCol w:w="1985"/>
        <w:gridCol w:w="3402"/>
        <w:gridCol w:w="1843"/>
        <w:gridCol w:w="222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2533" w:type="dxa"/>
            <w:shd w:val="clear" w:color="auto" w:fill="auto"/>
            <w:vAlign w:val="center"/>
          </w:tcPr>
          <w:p>
            <w:pPr>
              <w:spacing w:line="300" w:lineRule="exact"/>
              <w:jc w:val="center"/>
              <w:rPr>
                <w:rFonts w:ascii="方正书宋_GBK" w:hAnsi="Calibri" w:eastAsia="方正书宋_GBK" w:cs="Times New Roman"/>
                <w:b/>
              </w:rPr>
            </w:pPr>
            <w:r>
              <w:rPr>
                <w:rFonts w:ascii="方正书宋_GBK" w:hAnsi="Calibri" w:eastAsia="方正书宋_GBK" w:cs="Times New Roman"/>
                <w:b/>
              </w:rPr>
              <w:t>绩效目标</w:t>
            </w:r>
          </w:p>
        </w:tc>
        <w:tc>
          <w:tcPr>
            <w:tcW w:w="11718" w:type="dxa"/>
            <w:gridSpan w:val="5"/>
            <w:shd w:val="clear" w:color="auto" w:fill="auto"/>
            <w:vAlign w:val="center"/>
          </w:tcPr>
          <w:p>
            <w:pPr>
              <w:spacing w:line="300" w:lineRule="exact"/>
              <w:jc w:val="left"/>
              <w:rPr>
                <w:rFonts w:ascii="方正书宋_GBK" w:hAnsi="Calibri" w:eastAsia="方正书宋_GBK" w:cs="Times New Roman"/>
              </w:rPr>
            </w:pPr>
            <w:r>
              <w:rPr>
                <w:rFonts w:ascii="方正书宋_GBK" w:hAnsi="Calibri" w:eastAsia="方正书宋_GBK" w:cs="Times New Roman"/>
              </w:rPr>
              <w:t>1、通过项目开展，提高电梯发生故障时的救援效率，全面提升96365的工作效能，接收乘梯人员遇电梯突发安全状况时发出的电话报警呼救信息（电梯编号），安排救援人员第一时间施救；对全市所有电梯维保单位实施管理；与检验信息实现共享。</w:t>
            </w:r>
          </w:p>
          <w:p>
            <w:pPr>
              <w:spacing w:line="300" w:lineRule="exact"/>
              <w:jc w:val="left"/>
              <w:rPr>
                <w:rFonts w:ascii="方正书宋_GBK" w:hAnsi="Calibri" w:eastAsia="方正书宋_GBK" w:cs="Times New Roman"/>
              </w:rPr>
            </w:pPr>
            <w:r>
              <w:rPr>
                <w:rFonts w:ascii="方正书宋_GBK" w:hAnsi="Calibri" w:eastAsia="方正书宋_GBK" w:cs="Times New Roman"/>
              </w:rPr>
              <w:t>2、通过项目实施，按时准确发放18人劳务费，安装电梯轿厢标识牌大于等于1000部，运维电梯平台1套，组织全市电梯维保电位考核大赛1次，达到提升96365的工作效能，对辖区电梯应急处置全覆盖率100%的目标。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533"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220"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33"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发放劳务费人员数量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考察发放劳务费用人员数量情况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18人</w:t>
            </w:r>
          </w:p>
        </w:tc>
        <w:tc>
          <w:tcPr>
            <w:tcW w:w="2220" w:type="dxa"/>
            <w:shd w:val="clear" w:color="auto" w:fill="auto"/>
            <w:vAlign w:val="center"/>
          </w:tcPr>
          <w:p>
            <w:pPr>
              <w:spacing w:line="300" w:lineRule="exact"/>
              <w:jc w:val="left"/>
              <w:rPr>
                <w:rFonts w:ascii="方正书宋_GBK" w:eastAsia="方正书宋_GBK"/>
              </w:rPr>
            </w:pPr>
            <w:r>
              <w:rPr>
                <w:rFonts w:ascii="方正书宋_GBK" w:eastAsia="方正书宋_GBK"/>
              </w:rPr>
              <w:t>《廊坊市机构编制委员会办公室关于整合设立市电梯应急处置投诉举报平台并增加劳务派遣人员的批复》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33"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安装电梯轿厢标识牌数量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考察安装电梯轿厢标识牌数量情况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≥1000部</w:t>
            </w:r>
          </w:p>
        </w:tc>
        <w:tc>
          <w:tcPr>
            <w:tcW w:w="2220"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33"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电梯平台运维数量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考察电梯平台运维数量情况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1套</w:t>
            </w:r>
          </w:p>
        </w:tc>
        <w:tc>
          <w:tcPr>
            <w:tcW w:w="2220"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33"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组织全市电梯维保电位考核大赛次数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考察组织全市电梯维保电位考核大赛次数情况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1次</w:t>
            </w:r>
          </w:p>
        </w:tc>
        <w:tc>
          <w:tcPr>
            <w:tcW w:w="2220"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33"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30分钟内安排救援人员达到现场达到率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考察30分钟内安排救援人员达到现场达到情况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220" w:type="dxa"/>
            <w:shd w:val="clear" w:color="auto" w:fill="auto"/>
            <w:vAlign w:val="center"/>
          </w:tcPr>
          <w:p>
            <w:pPr>
              <w:spacing w:line="300" w:lineRule="exact"/>
              <w:jc w:val="left"/>
              <w:rPr>
                <w:rFonts w:ascii="方正书宋_GBK" w:eastAsia="方正书宋_GBK"/>
              </w:rPr>
            </w:pPr>
            <w:r>
              <w:rPr>
                <w:rFonts w:ascii="方正书宋_GBK" w:eastAsia="方正书宋_GBK"/>
              </w:rPr>
              <w:t>国家相关安全技术规范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33"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电梯平台运行稳定率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考察电梯平台运行稳定情况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220"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33"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应急处置及时性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考察应急处理及时情况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220"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33"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≤165万元</w:t>
            </w:r>
          </w:p>
        </w:tc>
        <w:tc>
          <w:tcPr>
            <w:tcW w:w="2220"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33"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提升96365的工作效能</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考察96365的工作效能提升情况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提升</w:t>
            </w:r>
          </w:p>
        </w:tc>
        <w:tc>
          <w:tcPr>
            <w:tcW w:w="2220"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33"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对辖区电梯应急处置全覆盖率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考察通过96365平台接报电梯事故处置覆盖情况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220" w:type="dxa"/>
            <w:shd w:val="clear" w:color="auto" w:fill="auto"/>
            <w:vAlign w:val="center"/>
          </w:tcPr>
          <w:p>
            <w:pPr>
              <w:spacing w:line="300" w:lineRule="exact"/>
              <w:jc w:val="left"/>
              <w:rPr>
                <w:rFonts w:ascii="方正书宋_GBK" w:eastAsia="方正书宋_GBK"/>
              </w:rPr>
            </w:pPr>
            <w:r>
              <w:rPr>
                <w:rFonts w:ascii="方正书宋_GBK" w:eastAsia="方正书宋_GBK"/>
              </w:rPr>
              <w:t>《廊坊市机构编制委员会办公室关于整合设立市电梯应急处置投诉举报平台并增加劳务派遣人员的批复》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33"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电梯运维机制健全性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考察电梯运维机制健全情况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健全</w:t>
            </w:r>
          </w:p>
        </w:tc>
        <w:tc>
          <w:tcPr>
            <w:tcW w:w="2220" w:type="dxa"/>
            <w:shd w:val="clear" w:color="auto" w:fill="auto"/>
            <w:vAlign w:val="center"/>
          </w:tcPr>
          <w:p>
            <w:pPr>
              <w:spacing w:line="300" w:lineRule="exact"/>
              <w:jc w:val="left"/>
              <w:rPr>
                <w:rFonts w:ascii="方正书宋_GBK" w:eastAsia="方正书宋_GBK"/>
              </w:rPr>
            </w:pPr>
            <w:r>
              <w:rPr>
                <w:rFonts w:ascii="方正书宋_GBK" w:eastAsia="方正书宋_GBK"/>
              </w:rPr>
              <w:t>电梯运维机制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33"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市民满意度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考察群众满意情况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≥85百分比</w:t>
            </w:r>
          </w:p>
        </w:tc>
        <w:tc>
          <w:tcPr>
            <w:tcW w:w="2220" w:type="dxa"/>
            <w:shd w:val="clear" w:color="auto" w:fill="auto"/>
            <w:vAlign w:val="center"/>
          </w:tcPr>
          <w:p>
            <w:pPr>
              <w:spacing w:line="300" w:lineRule="exact"/>
              <w:jc w:val="left"/>
              <w:rPr>
                <w:rFonts w:ascii="方正书宋_GBK" w:eastAsia="方正书宋_GBK"/>
              </w:rPr>
            </w:pPr>
            <w:r>
              <w:rPr>
                <w:rFonts w:ascii="方正书宋_GBK" w:eastAsia="方正书宋_GBK"/>
              </w:rPr>
              <w:t>调查问卷</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7</w:t>
      </w:r>
      <w:r>
        <w:rPr>
          <w:rFonts w:ascii="楷体_GB2312" w:hAnsi="Times New Roman" w:eastAsia="楷体_GB2312" w:cs="Times New Roman"/>
          <w:b/>
          <w:sz w:val="28"/>
        </w:rPr>
        <w:t>、法人库廊坊子平台（一期）建设经费绩效目标表</w:t>
      </w:r>
    </w:p>
    <w:p>
      <w:pPr>
        <w:spacing w:line="14" w:lineRule="exact"/>
        <w:ind w:firstLine="420" w:firstLineChars="200"/>
        <w:jc w:val="center"/>
        <w:rPr>
          <w:rFonts w:ascii="Times New Roman" w:hAnsi="宋体" w:eastAsia="宋体"/>
        </w:rPr>
      </w:pPr>
    </w:p>
    <w:tbl>
      <w:tblPr>
        <w:tblStyle w:val="5"/>
        <w:tblW w:w="1428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51"/>
        <w:gridCol w:w="2268"/>
        <w:gridCol w:w="1985"/>
        <w:gridCol w:w="3402"/>
        <w:gridCol w:w="1843"/>
        <w:gridCol w:w="223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551" w:type="dxa"/>
            <w:shd w:val="clear" w:color="auto" w:fill="auto"/>
            <w:vAlign w:val="center"/>
          </w:tcPr>
          <w:p>
            <w:pPr>
              <w:spacing w:line="300" w:lineRule="exact"/>
              <w:jc w:val="center"/>
              <w:rPr>
                <w:rFonts w:ascii="方正书宋_GBK" w:hAnsi="Calibri" w:eastAsia="方正书宋_GBK" w:cs="Times New Roman"/>
                <w:b/>
              </w:rPr>
            </w:pPr>
            <w:r>
              <w:rPr>
                <w:rFonts w:ascii="方正书宋_GBK" w:hAnsi="Calibri" w:eastAsia="方正书宋_GBK" w:cs="Times New Roman"/>
                <w:b/>
              </w:rPr>
              <w:t>绩效目标</w:t>
            </w:r>
          </w:p>
        </w:tc>
        <w:tc>
          <w:tcPr>
            <w:tcW w:w="11736" w:type="dxa"/>
            <w:gridSpan w:val="5"/>
            <w:shd w:val="clear" w:color="auto" w:fill="auto"/>
            <w:vAlign w:val="center"/>
          </w:tcPr>
          <w:p>
            <w:pPr>
              <w:spacing w:line="300" w:lineRule="exact"/>
              <w:jc w:val="left"/>
              <w:rPr>
                <w:rFonts w:ascii="方正书宋_GBK" w:hAnsi="Calibri" w:eastAsia="方正书宋_GBK" w:cs="Times New Roman"/>
              </w:rPr>
            </w:pPr>
            <w:r>
              <w:rPr>
                <w:rFonts w:ascii="方正书宋_GBK" w:hAnsi="Calibri" w:eastAsia="方正书宋_GBK" w:cs="Times New Roman"/>
              </w:rPr>
              <w:t>1、原工商局2018年法人库廊坊子平台质保金</w:t>
            </w:r>
          </w:p>
          <w:p>
            <w:pPr>
              <w:spacing w:line="300" w:lineRule="exact"/>
              <w:jc w:val="left"/>
              <w:rPr>
                <w:rFonts w:ascii="方正书宋_GBK" w:hAnsi="Calibri" w:eastAsia="方正书宋_GBK" w:cs="Times New Roman"/>
              </w:rPr>
            </w:pPr>
            <w:r>
              <w:rPr>
                <w:rFonts w:ascii="方正书宋_GBK" w:hAnsi="Calibri" w:eastAsia="方正书宋_GBK" w:cs="Times New Roman"/>
              </w:rPr>
              <w:t>2、完成法人库项目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551"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238"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51"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法人库平台数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考察法人库平台数</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1个</w:t>
            </w:r>
          </w:p>
          <w:p>
            <w:pPr>
              <w:spacing w:line="300" w:lineRule="exact"/>
              <w:jc w:val="left"/>
              <w:rPr>
                <w:rFonts w:ascii="方正书宋_GBK" w:eastAsia="方正书宋_GBK"/>
              </w:rPr>
            </w:pPr>
          </w:p>
        </w:tc>
        <w:tc>
          <w:tcPr>
            <w:tcW w:w="2238" w:type="dxa"/>
            <w:shd w:val="clear" w:color="auto" w:fill="auto"/>
            <w:vAlign w:val="center"/>
          </w:tcPr>
          <w:p>
            <w:pPr>
              <w:spacing w:line="300" w:lineRule="exact"/>
              <w:jc w:val="left"/>
              <w:rPr>
                <w:rFonts w:ascii="方正书宋_GBK" w:eastAsia="方正书宋_GBK"/>
              </w:rPr>
            </w:pPr>
            <w:r>
              <w:rPr>
                <w:rFonts w:ascii="方正书宋_GBK" w:eastAsia="方正书宋_GBK"/>
              </w:rPr>
              <w:t>部门计划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51"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法人库建设通过率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考察法人库建设通过率情况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238" w:type="dxa"/>
            <w:shd w:val="clear" w:color="auto" w:fill="auto"/>
            <w:vAlign w:val="center"/>
          </w:tcPr>
          <w:p>
            <w:pPr>
              <w:spacing w:line="300" w:lineRule="exact"/>
              <w:jc w:val="left"/>
              <w:rPr>
                <w:rFonts w:ascii="方正书宋_GBK" w:eastAsia="方正书宋_GBK"/>
              </w:rPr>
            </w:pPr>
            <w:r>
              <w:rPr>
                <w:rFonts w:ascii="方正书宋_GBK" w:eastAsia="方正书宋_GBK"/>
              </w:rPr>
              <w:t>部门计划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51"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项目完成及时性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考察项目完成及时性情况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238" w:type="dxa"/>
            <w:shd w:val="clear" w:color="auto" w:fill="auto"/>
            <w:vAlign w:val="center"/>
          </w:tcPr>
          <w:p>
            <w:pPr>
              <w:spacing w:line="300" w:lineRule="exact"/>
              <w:jc w:val="left"/>
              <w:rPr>
                <w:rFonts w:ascii="方正书宋_GBK" w:eastAsia="方正书宋_GBK"/>
              </w:rPr>
            </w:pPr>
            <w:r>
              <w:rPr>
                <w:rFonts w:ascii="方正书宋_GBK" w:eastAsia="方正书宋_GBK"/>
              </w:rPr>
              <w:t>部门计划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51"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法人库平台成本控制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考察法人库平台成本控制情况</w:t>
            </w:r>
          </w:p>
          <w:p>
            <w:pPr>
              <w:spacing w:line="300" w:lineRule="exact"/>
              <w:jc w:val="left"/>
              <w:rPr>
                <w:rFonts w:ascii="方正书宋_GBK" w:eastAsia="方正书宋_GBK"/>
              </w:rPr>
            </w:pP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5.17万元</w:t>
            </w:r>
          </w:p>
        </w:tc>
        <w:tc>
          <w:tcPr>
            <w:tcW w:w="2238" w:type="dxa"/>
            <w:shd w:val="clear" w:color="auto" w:fill="auto"/>
            <w:vAlign w:val="center"/>
          </w:tcPr>
          <w:p>
            <w:pPr>
              <w:spacing w:line="300" w:lineRule="exact"/>
              <w:jc w:val="left"/>
              <w:rPr>
                <w:rFonts w:ascii="方正书宋_GBK" w:eastAsia="方正书宋_GBK"/>
              </w:rPr>
            </w:pPr>
            <w:r>
              <w:rPr>
                <w:rFonts w:ascii="方正书宋_GBK" w:eastAsia="方正书宋_GBK"/>
              </w:rPr>
              <w:t>部门计划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51" w:type="dxa"/>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长效管理机制健全性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考察长效管理机制健全程度</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健全</w:t>
            </w:r>
          </w:p>
        </w:tc>
        <w:tc>
          <w:tcPr>
            <w:tcW w:w="2238" w:type="dxa"/>
            <w:shd w:val="clear" w:color="auto" w:fill="auto"/>
            <w:vAlign w:val="center"/>
          </w:tcPr>
          <w:p>
            <w:pPr>
              <w:spacing w:line="300" w:lineRule="exact"/>
              <w:jc w:val="left"/>
              <w:rPr>
                <w:rFonts w:ascii="方正书宋_GBK" w:eastAsia="方正书宋_GBK"/>
              </w:rPr>
            </w:pPr>
            <w:r>
              <w:rPr>
                <w:rFonts w:ascii="方正书宋_GBK" w:eastAsia="方正书宋_GBK"/>
              </w:rPr>
              <w:t>部门计划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551"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企业满意度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走访企业反馈</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≥85百分比</w:t>
            </w:r>
          </w:p>
        </w:tc>
        <w:tc>
          <w:tcPr>
            <w:tcW w:w="2238" w:type="dxa"/>
            <w:shd w:val="clear" w:color="auto" w:fill="auto"/>
            <w:vAlign w:val="center"/>
          </w:tcPr>
          <w:p>
            <w:pPr>
              <w:spacing w:line="300" w:lineRule="exact"/>
              <w:jc w:val="left"/>
              <w:rPr>
                <w:rFonts w:ascii="方正书宋_GBK" w:eastAsia="方正书宋_GBK"/>
              </w:rPr>
            </w:pPr>
            <w:r>
              <w:rPr>
                <w:rFonts w:ascii="方正书宋_GBK" w:eastAsia="方正书宋_GBK"/>
              </w:rPr>
              <w:t>部门计划</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spacing w:line="300" w:lineRule="exact"/>
        <w:ind w:firstLine="562" w:firstLineChars="200"/>
        <w:jc w:val="left"/>
        <w:rPr>
          <w:rFonts w:ascii="楷体_GB2312" w:hAnsi="Times New Roman" w:eastAsia="楷体_GB2312" w:cs="Times New Roman"/>
          <w:b/>
          <w:sz w:val="28"/>
        </w:rPr>
      </w:pPr>
      <w:r>
        <w:rPr>
          <w:rFonts w:hint="eastAsia" w:ascii="楷体_GB2312" w:hAnsi="Times New Roman" w:eastAsia="楷体_GB2312" w:cs="Times New Roman"/>
          <w:b/>
          <w:sz w:val="28"/>
        </w:rPr>
        <w:t>8</w:t>
      </w:r>
      <w:r>
        <w:rPr>
          <w:rFonts w:ascii="楷体_GB2312" w:hAnsi="Times New Roman" w:eastAsia="楷体_GB2312" w:cs="Times New Roman"/>
          <w:b/>
          <w:sz w:val="28"/>
        </w:rPr>
        <w:t>、强制检定、计量惠民检测费绩效目标表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项目开展，保障廊坊市强制检定计量器具按周期进行检定，确保这部分计量器具的量值准确可靠。2020年，计划“惠民中心”开展工作量进一步提高。一是要做好“窗口”日常检测工作。二是加大力度做好“四进”工作，继续扩大计量惠民范围，为百姓送去更多温暖。</w:t>
            </w:r>
          </w:p>
          <w:p>
            <w:pPr>
              <w:spacing w:line="300" w:lineRule="exact"/>
              <w:jc w:val="left"/>
              <w:rPr>
                <w:rFonts w:ascii="方正书宋_GBK" w:eastAsia="方正书宋_GBK"/>
              </w:rPr>
            </w:pPr>
            <w:r>
              <w:rPr>
                <w:rFonts w:ascii="方正书宋_GBK" w:eastAsia="方正书宋_GBK"/>
              </w:rPr>
              <w:t>2、通过项目实施，完成检定计量器具8.3万台件，保证检定证书合格率达100%，达到重点管理计量器具检定完成率大于等于95%的目标。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检定台件数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考察检定各类强制检定计量器具台件数情况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≥8.3台件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检定证书合格率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考察检定各类强制检定计量器具出具检定报告合格情况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《检定规程》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检定工作完成率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考察实际完成的强制检定计量器具台件数占应完成强制检定台件数的百分比</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≤460万元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冀价行费【2008】62号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重点管理计量器具检定完成率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考察重点管理计量器具检定完成情况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《财政部、国家发展改革委“关于清理规范一批行政事业性收费有关政策的通知”》、《关于推进“计量惠民生、诚信促和谐”双十工程目标任务全面落实通知》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档案管理机制健全性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考察档案管理机制健全情况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健全</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档案管理机制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服务群体满意度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考察服务群体满意情况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bl>
    <w:p>
      <w:pPr>
        <w:spacing w:line="300" w:lineRule="exact"/>
        <w:ind w:firstLine="420" w:firstLineChars="200"/>
        <w:jc w:val="left"/>
      </w:pPr>
    </w:p>
    <w:p>
      <w:pPr>
        <w:spacing w:line="300" w:lineRule="exact"/>
        <w:ind w:firstLine="562" w:firstLineChars="200"/>
        <w:jc w:val="left"/>
        <w:rPr>
          <w:rFonts w:ascii="楷体_GB2312" w:hAnsi="Times New Roman" w:eastAsia="楷体_GB2312" w:cs="Times New Roman"/>
          <w:b/>
          <w:sz w:val="28"/>
        </w:rPr>
      </w:pPr>
    </w:p>
    <w:p>
      <w:pPr>
        <w:spacing w:line="300" w:lineRule="exact"/>
        <w:ind w:firstLine="562" w:firstLineChars="200"/>
        <w:jc w:val="left"/>
        <w:rPr>
          <w:rFonts w:ascii="楷体_GB2312" w:hAnsi="Times New Roman" w:eastAsia="楷体_GB2312" w:cs="Times New Roman"/>
          <w:b/>
          <w:sz w:val="28"/>
        </w:rPr>
      </w:pPr>
      <w:r>
        <w:rPr>
          <w:rFonts w:hint="eastAsia" w:ascii="楷体_GB2312" w:hAnsi="Times New Roman" w:eastAsia="楷体_GB2312" w:cs="Times New Roman"/>
          <w:b/>
          <w:sz w:val="28"/>
        </w:rPr>
        <w:t>9、</w:t>
      </w:r>
      <w:r>
        <w:rPr>
          <w:rFonts w:ascii="楷体_GB2312" w:hAnsi="Times New Roman" w:eastAsia="楷体_GB2312" w:cs="Times New Roman"/>
          <w:b/>
          <w:sz w:val="28"/>
        </w:rPr>
        <w:t>食品安全示范城市创建经费绩效目标表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1、通过食品安全示范城市创建，使全市食品安全监管能力大幅提升，依法治理成效明显，突出问题有效解决，违法行为得到遏制，食品安全状况有序可控，食品安全指标综合评价进入全省先进行列。</w:t>
            </w:r>
          </w:p>
          <w:p>
            <w:pPr>
              <w:spacing w:line="300" w:lineRule="exact"/>
              <w:jc w:val="left"/>
              <w:rPr>
                <w:rFonts w:ascii="方正书宋_GBK" w:eastAsia="方正书宋_GBK"/>
              </w:rPr>
            </w:pPr>
            <w:r>
              <w:rPr>
                <w:rFonts w:ascii="方正书宋_GBK" w:eastAsia="方正书宋_GBK"/>
              </w:rPr>
              <w:t>2、通过项目实施，完成77项资料梳理及归集工作，工作完成及时准确；创建11个示范点，示范点验收通过率达到80%以上；组织1次风险点排查工作；1次以上社会满意度调查工作，调查区域覆盖全市11个县（市、区），调查数据准确，调查工作开展及时；印制25000册/张宣传资料及海报，宣传品印刷质量达标，发放及时；提高民众对食品安全示范城市创建工作知晓率，确保全市无重大食品安全事故发生，使广大群众得到实实在在的实惠，切实感受到食品安全状况稳中向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资料梳理及归集数量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考察资料梳理及归集数量情况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77项</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《廊坊市食品安全示范城市创建任务细化分解方案》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示范点创建数量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考察示范点创建数量情况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&gt;11个</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《国家食品安全示范城市标准（修订版）河北省廊坊市评价细则标准（试行）》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风险点排查轮次</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考察风险点排查次数情况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&gt;1次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调查报告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社会满意度调查次数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考察满意度调查开展次数情况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调查报告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宣传资料及海报印制数量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考察宣传资料及海报印制数量情况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&gt;25000册/张</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采购单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资料梳理及归集数据准确率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考察资料梳理及归集数据质量情况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待下发文件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示范点验收通过率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考察示范点验收通过情况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社会满意度调查区域覆盖率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考察社会满意度调查区域覆盖情况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调查报告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宣传资料印刷准确率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考察宣传资料印刷准确度情况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验收单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资料梳理及归集及时性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考察资料梳理及归集时间情况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待下发文件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示范点创建及时性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考察示范点创建完成时间情况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待下发文件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风险点排查及时性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考察风险点排查完成时间情况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调查报告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宣传资料发放及时性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考察宣传资料发放时间情况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验收单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食品安全示范城市创建工作成本控制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考察食品安全示范城市创建工作成本控制情况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《国家食品安全示范城市标准（修订版）河北省廊坊市评价细则标准（试行）》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创建工作知晓率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考察民众对食品安全示范城市创建工作知晓情况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≥75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调查数据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重大食品安全事故发生数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考察重大食品安全事故发生数量</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调查数据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档案管理规范性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考察档案管理情况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规范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制度文件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信息共享情况</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考察信息共享情况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共享</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信息公示文件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群众满意度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考察民众满意度情况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≥70百分比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调查问卷</w:t>
            </w:r>
          </w:p>
        </w:tc>
      </w:tr>
    </w:tbl>
    <w:p>
      <w:pPr>
        <w:spacing w:line="300" w:lineRule="exact"/>
        <w:ind w:firstLine="420" w:firstLineChars="200"/>
        <w:jc w:val="left"/>
      </w:pPr>
    </w:p>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ascii="楷体_GB2312" w:hAnsi="Times New Roman" w:eastAsia="楷体_GB2312" w:cs="Times New Roman"/>
          <w:b/>
          <w:sz w:val="28"/>
        </w:rPr>
        <w:t>1</w:t>
      </w:r>
      <w:r>
        <w:rPr>
          <w:rFonts w:hint="eastAsia" w:ascii="楷体_GB2312" w:hAnsi="Times New Roman" w:eastAsia="楷体_GB2312" w:cs="Times New Roman"/>
          <w:b/>
          <w:sz w:val="28"/>
        </w:rPr>
        <w:t>0</w:t>
      </w:r>
      <w:r>
        <w:rPr>
          <w:rFonts w:ascii="楷体_GB2312" w:hAnsi="Times New Roman" w:eastAsia="楷体_GB2312" w:cs="Times New Roman"/>
          <w:b/>
          <w:sz w:val="28"/>
        </w:rPr>
        <w:t>、食品抽检经费绩效目标表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1、通过开展食品安全抽样检验工作，加强食品安全监督管理，保障公众身体健康和生命安全，为社会和公众创造安全放心和食品安全环境。</w:t>
            </w:r>
          </w:p>
          <w:p>
            <w:pPr>
              <w:spacing w:line="300" w:lineRule="exact"/>
              <w:jc w:val="left"/>
              <w:rPr>
                <w:rFonts w:ascii="方正书宋_GBK" w:eastAsia="方正书宋_GBK"/>
              </w:rPr>
            </w:pPr>
            <w:r>
              <w:rPr>
                <w:rFonts w:ascii="方正书宋_GBK" w:eastAsia="方正书宋_GBK"/>
              </w:rPr>
              <w:t>2、通过项目的实施，及时合规的完成大于等于2853批次抽检工作，达到重大活动餐饮服务接待单位食品抽检合格率大于等于95%，抽检、检查覆盖率大于等于95%的目标。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抽检批次</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对获证食品生产企业全覆盖抽检和食品抽检量达到4批次/千人</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≥2353批</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 xml:space="preserve">依据《食品安全抽样检验管理办法》（国家食品药品监督总局令第11号）、《关于深化改革加强食品安全工作的若干措施》《廊坊市食品安全示范城市创建工作实施方案》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抽检程序合规率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考察抽检程序合规情况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依据《食品安全抽样检验管理办法》（国家食品药品监督总局令第12号）、《关于深化改革加强食品安全工作的若干措施》《廊坊市食品安全示范城市创建工作实施方案》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重大活动餐饮服务接待单位食品抽检合格率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考察重大活动餐饮服务接待单位食品抽检合格情况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 xml:space="preserve">依据《食品安全抽样检验管理办法》（国家食品药品监督总局令第11号）《关于深化改革加强食品安全工作的若干措施》《廊坊市食品安全示范城市创建工作实施方案》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抽检、检查及时性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考察抽检、检查及时情况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食品抽检成本控制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考察食品抽检成本控制情况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≤350万元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抽检、检查覆盖率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考察抽检、检查覆盖情况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提高食品质量合格率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考察提高食品质量合格率情况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提高</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群众满意度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考察群众满意情况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≥85百分比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调查问卷</w:t>
            </w:r>
          </w:p>
        </w:tc>
      </w:tr>
    </w:tbl>
    <w:p>
      <w:pPr>
        <w:spacing w:line="300" w:lineRule="exact"/>
        <w:ind w:firstLine="420" w:firstLineChars="200"/>
        <w:jc w:val="left"/>
      </w:pPr>
    </w:p>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spacing w:line="300" w:lineRule="exact"/>
        <w:ind w:firstLine="562" w:firstLineChars="200"/>
        <w:jc w:val="left"/>
        <w:rPr>
          <w:rFonts w:ascii="楷体_GB2312" w:hAnsi="Times New Roman" w:eastAsia="楷体_GB2312" w:cs="Times New Roman"/>
          <w:b/>
          <w:sz w:val="28"/>
        </w:rPr>
      </w:pPr>
      <w:r>
        <w:rPr>
          <w:rFonts w:hint="eastAsia" w:ascii="楷体_GB2312" w:hAnsi="Times New Roman" w:eastAsia="楷体_GB2312" w:cs="Times New Roman"/>
          <w:b/>
          <w:sz w:val="28"/>
        </w:rPr>
        <w:t>11</w:t>
      </w:r>
      <w:r>
        <w:rPr>
          <w:rFonts w:ascii="楷体_GB2312" w:hAnsi="Times New Roman" w:eastAsia="楷体_GB2312" w:cs="Times New Roman"/>
          <w:b/>
          <w:sz w:val="28"/>
        </w:rPr>
        <w:t>、食品药品监管共治平台建设资金绩效目标表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1、完成此项目</w:t>
            </w:r>
            <w:r>
              <w:rPr>
                <w:rFonts w:hint="eastAsia" w:ascii="方正书宋_GBK" w:eastAsia="方正书宋_GBK"/>
              </w:rPr>
              <w:t>;</w:t>
            </w:r>
            <w:r>
              <w:rPr>
                <w:rFonts w:ascii="方正书宋_GBK" w:eastAsia="方正书宋_GBK"/>
              </w:rPr>
              <w:t xml:space="preserve"> 2、确保网络通常</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食品药品监管共治平台建设数量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考察食品药品监管共治平台建设数量情况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1个</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平台建设完成率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考察平台建设完成率情况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4.83万元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长期使用性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考察长期使用性情况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长期</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群众满意度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群众反馈情况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≥85百分比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bl>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ind w:firstLine="562" w:firstLineChars="200"/>
        <w:jc w:val="left"/>
        <w:outlineLvl w:val="1"/>
        <w:rPr>
          <w:rFonts w:ascii="楷体_GB2312" w:hAnsi="Times New Roman" w:eastAsia="楷体_GB2312" w:cs="Times New Roman"/>
          <w:b/>
          <w:sz w:val="28"/>
        </w:r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12</w:t>
      </w:r>
      <w:r>
        <w:rPr>
          <w:rFonts w:ascii="楷体_GB2312" w:hAnsi="Times New Roman" w:eastAsia="楷体_GB2312" w:cs="Times New Roman"/>
          <w:b/>
          <w:sz w:val="28"/>
        </w:rPr>
        <w:t>、市场监管经费绩效目标表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1、开展相关专项整治，下乡督导检查</w:t>
            </w:r>
          </w:p>
          <w:p>
            <w:pPr>
              <w:spacing w:line="300" w:lineRule="exact"/>
              <w:jc w:val="left"/>
              <w:rPr>
                <w:rFonts w:ascii="方正书宋_GBK" w:eastAsia="方正书宋_GBK"/>
              </w:rPr>
            </w:pPr>
            <w:r>
              <w:rPr>
                <w:rFonts w:ascii="方正书宋_GBK" w:eastAsia="方正书宋_GBK"/>
              </w:rPr>
              <w:t>2、食品安全突发事件应急预案；法律法规的指导工作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专项监督次数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考察专项监督数量情况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≥4次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发放劳务费人员数量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考察发放劳务费人员数量情况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≥36人</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运维车辆数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考察运维车辆数量情况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14辆</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专项监督程序合规率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考察专项监督程序合规情况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应尽应补率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考察应尽应补情况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车辆运维验收通过率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考察车辆运维验收通过情况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发放劳务费及时性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考察发放劳务费及时情况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≤285万元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经济效益指标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市场规范性提高</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考察市场规范性提高情况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提高</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长效管理机制健全性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考察长效管理机制健全情况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健全</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群众满意度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考察群众满意情况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≥85百分比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bl>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spacing w:line="300" w:lineRule="exact"/>
        <w:ind w:firstLine="420" w:firstLineChars="200"/>
        <w:jc w:val="left"/>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1</w:t>
      </w:r>
      <w:r>
        <w:rPr>
          <w:rFonts w:ascii="楷体_GB2312" w:hAnsi="Times New Roman" w:eastAsia="楷体_GB2312" w:cs="Times New Roman"/>
          <w:b/>
          <w:sz w:val="28"/>
        </w:rPr>
        <w:t>3、提前下达2020年省级食品药品监管补助经费（冀财行〔2019〕45号）绩效目标表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1、提升药品质量</w:t>
            </w:r>
            <w:r>
              <w:rPr>
                <w:rFonts w:hint="eastAsia" w:ascii="方正书宋_GBK" w:eastAsia="方正书宋_GBK"/>
              </w:rPr>
              <w:t>;</w:t>
            </w:r>
            <w:r>
              <w:rPr>
                <w:rFonts w:ascii="方正书宋_GBK" w:eastAsia="方正书宋_GBK"/>
              </w:rPr>
              <w:t>2、净化药品市场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药品采样批次</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考察药品采样批次情况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≥200批次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药品检验合格率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考察药品检验合格率情况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检验检测及时性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考察检验检测及时性情况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≤128万元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长期性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考察长期性</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长期</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群众满意度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考察群众满意度情况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bl>
    <w:p>
      <w:pPr>
        <w:spacing w:line="300" w:lineRule="exact"/>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14</w:t>
      </w:r>
      <w:r>
        <w:rPr>
          <w:rFonts w:ascii="楷体_GB2312" w:hAnsi="Times New Roman" w:eastAsia="楷体_GB2312" w:cs="Times New Roman"/>
          <w:b/>
          <w:sz w:val="28"/>
        </w:rPr>
        <w:t>、提前下达2020年省级市场监管专项补助经费（冀财行〔2019〕41号）绩效目标表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1、持续推进商事制度改革力度，优化营商环境，促进市场主体健康发展</w:t>
            </w:r>
            <w:r>
              <w:rPr>
                <w:rFonts w:hint="eastAsia" w:ascii="方正书宋_GBK" w:eastAsia="方正书宋_GBK"/>
              </w:rPr>
              <w:t>;</w:t>
            </w:r>
          </w:p>
          <w:p>
            <w:pPr>
              <w:spacing w:line="300" w:lineRule="exact"/>
              <w:jc w:val="left"/>
              <w:rPr>
                <w:rFonts w:ascii="方正书宋_GBK" w:eastAsia="方正书宋_GBK"/>
              </w:rPr>
            </w:pPr>
            <w:r>
              <w:rPr>
                <w:rFonts w:ascii="方正书宋_GBK" w:eastAsia="方正书宋_GBK"/>
              </w:rPr>
              <w:t>2、开展专项整治行动，净化市场环境。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监督检查次数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考察监督检查次数情况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≥30次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监督检查完成率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考察监督检查完成率情况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考察及时性情况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≤76万元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社会稳定水平</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考察社会稳定水平情况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提高</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群众满意度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考察满意度情况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15</w:t>
      </w:r>
      <w:r>
        <w:rPr>
          <w:rFonts w:ascii="楷体_GB2312" w:hAnsi="Times New Roman" w:eastAsia="楷体_GB2312" w:cs="Times New Roman"/>
          <w:b/>
          <w:sz w:val="28"/>
        </w:rPr>
        <w:t>、提前下达2020年省级质量技术监督专项补助经费（冀财行〔2019〕40号）绩效目标表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1、开展计量比对、能源计量审查和数据采集，达到规范计量秩序、提升服务节能减排能力，维护社会公平正义的目的；加强计量强制性检定，保证全省量值准确，保障我省计量器具强制检定工作。</w:t>
            </w:r>
          </w:p>
          <w:p>
            <w:pPr>
              <w:spacing w:line="300" w:lineRule="exact"/>
              <w:jc w:val="left"/>
              <w:rPr>
                <w:rFonts w:ascii="方正书宋_GBK" w:eastAsia="方正书宋_GBK"/>
              </w:rPr>
            </w:pPr>
            <w:r>
              <w:rPr>
                <w:rFonts w:ascii="方正书宋_GBK" w:eastAsia="方正书宋_GBK"/>
              </w:rPr>
              <w:t>2、开展产品质量监督抽查工作，震慑产品质量的不法行为，提高我省产品质量水平；开展检验检测机构监督抽查工作，推动检测机构全面质量化管理，提升检测质量；对锅炉、压力容器、电梯等危害性比较大的八大类产品的生产单位、安装单位以及相关检验机构进行监督抽查，从而减低事故发生率，保障人身安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监督检查次数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考察监督检查次数情况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≥20次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监督检查完成率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考察监督检查完成率情况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考察及时性情况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≤67万元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长期性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考察长期性</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长期</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群众满意度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考察群众满意度情况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16</w:t>
      </w:r>
      <w:r>
        <w:rPr>
          <w:rFonts w:ascii="楷体_GB2312" w:hAnsi="Times New Roman" w:eastAsia="楷体_GB2312" w:cs="Times New Roman"/>
          <w:b/>
          <w:sz w:val="28"/>
        </w:rPr>
        <w:t>、提前下达2020年中央工商行政管理专项经费(冀财行〔2019〕38号绩效目标表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1、持续推进商事制度改革力度，优化营商环境，促进市场主体健康发展</w:t>
            </w:r>
          </w:p>
          <w:p>
            <w:pPr>
              <w:spacing w:line="300" w:lineRule="exact"/>
              <w:jc w:val="left"/>
              <w:rPr>
                <w:rFonts w:ascii="方正书宋_GBK" w:eastAsia="方正书宋_GBK"/>
              </w:rPr>
            </w:pPr>
            <w:r>
              <w:rPr>
                <w:rFonts w:ascii="方正书宋_GBK" w:eastAsia="方正书宋_GBK"/>
              </w:rPr>
              <w:t>2、开展专项整治行动，净化市场环境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监督检查次数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考察监督检查次数情况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≥4次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监督检查完成率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考察监督检查完成率情况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考察及时性情况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≤15万元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长期性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考察长期性情况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长期</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群众满意度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考察群众满意度情况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≥85百分比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17</w:t>
      </w:r>
      <w:r>
        <w:rPr>
          <w:rFonts w:ascii="楷体_GB2312" w:hAnsi="Times New Roman" w:eastAsia="楷体_GB2312" w:cs="Times New Roman"/>
          <w:b/>
          <w:sz w:val="28"/>
        </w:rPr>
        <w:t>、提前下达2020年中央食品药品监管补助资金（冀财行〔2019〕49号）绩效目标表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1、进一步完善食品生产集中区综合治理</w:t>
            </w:r>
          </w:p>
          <w:p>
            <w:pPr>
              <w:spacing w:line="300" w:lineRule="exact"/>
              <w:jc w:val="left"/>
              <w:rPr>
                <w:rFonts w:ascii="方正书宋_GBK" w:eastAsia="方正书宋_GBK"/>
              </w:rPr>
            </w:pPr>
            <w:r>
              <w:rPr>
                <w:rFonts w:ascii="方正书宋_GBK" w:eastAsia="方正书宋_GBK"/>
              </w:rPr>
              <w:t>2、全部完成国家食品安全监督抽检和风险监测（转河北）抽样检验任务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抽检批次</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考察抽检批次情况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≥600批次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检验检测批次</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考察检验检测批次情况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≥1000批次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监督检查次数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考察监督检查次数情况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≥30次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抽检合格率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考察抽检合格率情况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检验检测完成率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考察检验检测完成率情况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监督检查完成率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考察监督检查完成率情况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≤412万元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社会稳定水平</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考察社会稳定水平情况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提升</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群众满意度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考察群众满意度情况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方正仿宋_GBK" w:eastAsia="方正仿宋_GBK"/>
          <w:b/>
          <w:sz w:val="28"/>
        </w:rPr>
      </w:pPr>
      <w:r>
        <w:rPr>
          <w:rFonts w:hint="eastAsia" w:ascii="方正仿宋_GBK" w:eastAsia="方正仿宋_GBK"/>
          <w:b/>
          <w:sz w:val="28"/>
        </w:rPr>
        <w:t>18</w:t>
      </w:r>
      <w:r>
        <w:rPr>
          <w:rFonts w:ascii="方正仿宋_GBK" w:eastAsia="方正仿宋_GBK"/>
          <w:b/>
          <w:sz w:val="28"/>
        </w:rPr>
        <w:t>、提前下达省级食品药品监管补助经费（冀财行〔2019〕39号）绩效目标表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1、对食品生产、流通、餐饮全流程监管</w:t>
            </w:r>
          </w:p>
          <w:p>
            <w:pPr>
              <w:spacing w:line="300" w:lineRule="exact"/>
              <w:jc w:val="left"/>
              <w:rPr>
                <w:rFonts w:ascii="方正书宋_GBK" w:eastAsia="方正书宋_GBK"/>
              </w:rPr>
            </w:pPr>
            <w:r>
              <w:rPr>
                <w:rFonts w:ascii="方正书宋_GBK" w:eastAsia="方正书宋_GBK"/>
              </w:rPr>
              <w:t>2、保障重大活动食品安全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监督检查次数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考察监督检查次数情况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监督检查完成率</w:t>
            </w:r>
          </w:p>
          <w:p>
            <w:pPr>
              <w:spacing w:line="300" w:lineRule="exact"/>
              <w:jc w:val="left"/>
              <w:rPr>
                <w:rFonts w:ascii="方正书宋_GBK" w:eastAsia="方正书宋_GBK"/>
              </w:rPr>
            </w:pP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考察监督检查完成率</w:t>
            </w:r>
          </w:p>
          <w:p>
            <w:pPr>
              <w:spacing w:line="300" w:lineRule="exact"/>
              <w:jc w:val="left"/>
              <w:rPr>
                <w:rFonts w:ascii="方正书宋_GBK" w:eastAsia="方正书宋_GBK"/>
              </w:rPr>
            </w:pPr>
            <w:r>
              <w:rPr>
                <w:rFonts w:ascii="方正书宋_GBK" w:eastAsia="方正书宋_GBK"/>
              </w:rPr>
              <w:t>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考察及时性情况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≤30万元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长期性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考察长期性情况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长期</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群众满意度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考察群众满意度情况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jc w:val="left"/>
        <w:outlineLvl w:val="1"/>
        <w:rPr>
          <w:rFonts w:ascii="楷体_GB2312" w:hAnsi="Times New Roman" w:eastAsia="楷体_GB2312" w:cs="Times New Roman"/>
          <w:b/>
          <w:sz w:val="28"/>
        </w:rPr>
      </w:pPr>
      <w:r>
        <w:rPr>
          <w:rFonts w:hint="eastAsia" w:ascii="方正仿宋_GBK" w:eastAsia="方正仿宋_GBK"/>
          <w:b/>
          <w:sz w:val="28"/>
        </w:rPr>
        <w:t xml:space="preserve">   19、</w:t>
      </w:r>
      <w:r>
        <w:rPr>
          <w:rFonts w:ascii="楷体_GB2312" w:hAnsi="Times New Roman" w:eastAsia="楷体_GB2312" w:cs="Times New Roman"/>
          <w:b/>
          <w:sz w:val="28"/>
        </w:rPr>
        <w:t>知识产权资助与奖励专项资金绩效目标表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1、激发科技人员科技创新的积极性创造性，促进廊坊市专利申请、授权增长</w:t>
            </w:r>
          </w:p>
          <w:p>
            <w:pPr>
              <w:spacing w:line="300" w:lineRule="exact"/>
              <w:jc w:val="left"/>
              <w:rPr>
                <w:rFonts w:ascii="方正书宋_GBK" w:eastAsia="方正书宋_GBK"/>
              </w:rPr>
            </w:pPr>
            <w:r>
              <w:rPr>
                <w:rFonts w:ascii="方正书宋_GBK" w:eastAsia="方正书宋_GBK"/>
              </w:rPr>
              <w:t>2、1、专利申请总量达到7000件；2、专利授权达到4500件；3、万人发明专利拥有量达到5.2件；4、专利权质押贷款达到6000万元。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发明专利授权奖励发放数量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考察全市发明专利授权补助发放数量情况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219件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奖励资金拨付通知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实用新型专利授权奖励发放数量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考察全市实用新型专利授权补助发放数量情况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1037件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奖励资金拨付通知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外观设计专利授权奖励发放数量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考察全市外观设计专利授权补助发放数量情况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80件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奖励资金拨付通知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其他补助资金发放项目数量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考察其他补助资金发放数量情况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30项</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奖励资金拨付通知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应奖尽奖率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考察专利授权资助申请审核与资金发放情况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资助申请表和奖励资金拨付通知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奖补资金发放及时性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奖补资金及时发放给相关单位和个人</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专项资金拨付通知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万人有效发明专利拥有量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考察全市科技创新能力提升情况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≥5.2件/万人</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河北省知识产权局专利统计年报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专利申请总量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考察全市发明、实用新型、外观设计专利申请情况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≥7000件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河北省知识产权局专利统计年报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知识产权贯标企业总数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考察全市知识产权贯标企业情况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≥6家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贯标证书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长效管理机制健全性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考察长效管理机制健全程度</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健全</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长效管理制度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档案管理机制健全性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考察档案管理机制健全程度及归档文件完整性</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健全</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档案管理制度、归档文件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受奖励对象满意度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考察专利权人、科技型企业、科研院所对知识产权工作满意率</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服务对象满意度测评表</w:t>
            </w:r>
          </w:p>
        </w:tc>
      </w:tr>
    </w:tbl>
    <w:p>
      <w:pPr>
        <w:ind w:firstLine="562" w:firstLineChars="200"/>
        <w:jc w:val="left"/>
        <w:outlineLvl w:val="1"/>
        <w:rPr>
          <w:rFonts w:ascii="方正仿宋_GBK" w:eastAsia="方正仿宋_GBK"/>
          <w:b/>
          <w:sz w:val="28"/>
        </w:rPr>
      </w:pPr>
    </w:p>
    <w:p>
      <w:pPr>
        <w:ind w:firstLine="562" w:firstLineChars="200"/>
        <w:jc w:val="left"/>
        <w:outlineLvl w:val="1"/>
        <w:rPr>
          <w:rFonts w:ascii="方正仿宋_GBK" w:eastAsia="方正仿宋_GBK"/>
          <w:b/>
          <w:sz w:val="28"/>
        </w:rPr>
        <w:sectPr>
          <w:pgSz w:w="16839" w:h="11907" w:orient="landscape"/>
          <w:pgMar w:top="1304" w:right="1984" w:bottom="1304" w:left="1134" w:header="851" w:footer="992" w:gutter="0"/>
          <w:cols w:space="425" w:num="1"/>
          <w:docGrid w:type="lines" w:linePitch="312" w:charSpace="0"/>
        </w:sectPr>
      </w:pPr>
    </w:p>
    <w:p>
      <w:pPr>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 xml:space="preserve">   20</w:t>
      </w:r>
      <w:r>
        <w:rPr>
          <w:rFonts w:ascii="楷体_GB2312" w:hAnsi="Times New Roman" w:eastAsia="楷体_GB2312" w:cs="Times New Roman"/>
          <w:b/>
          <w:sz w:val="28"/>
        </w:rPr>
        <w:t>、质量奖奖励经费绩效目标表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1、市政府质量奖奖励，完善质量资助和激励政策，加大财政投入，推动企业提品质、创品牌，鼓励企业积极开展争创政府质量奖、质量管理先进单位和质量标兵等活动。</w:t>
            </w:r>
          </w:p>
          <w:p>
            <w:pPr>
              <w:spacing w:line="300" w:lineRule="exact"/>
              <w:jc w:val="left"/>
              <w:rPr>
                <w:rFonts w:ascii="方正书宋_GBK" w:eastAsia="方正书宋_GBK"/>
              </w:rPr>
            </w:pPr>
            <w:r>
              <w:rPr>
                <w:rFonts w:ascii="方正书宋_GBK" w:eastAsia="方正书宋_GBK"/>
              </w:rPr>
              <w:t>2、落实第六届市政府质量奖获奖组织和个人奖金兑现。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获奖数量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考察第六届市政府质量奖获奖组织和个人获奖数量情况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≥10个</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《廊坊市政府质量奖评审细则》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奖励发放准确率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考察奖励发放准确情况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《廊坊市人民政府关于印发廊坊市政府质量奖管理办法的通知》（廊政字〔2017〕39号）、《廊坊市政府质量奖评审细则》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奖励发放及时性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考察奖励发放及时性情况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及时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《河北省质量强省战略领导小组办公室关于开展2018年度市级政府质量工作考核的通知》、2019年全市质量发展工作要点、科室工作计划安排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奖励经费成本控制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考察奖励经费成本控制情况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≤160万元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《廊坊市人民政府关于印发廊坊市政府质量奖管理办法的通知》（廊政字〔2017〕39号）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促进质量强市建设</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发挥获奖组织和个人标杆示范作用，引导和激励全市各行各业以提高发展质量和效益为中心</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促进</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《廊坊市人民政府关于印发廊坊市政府质量奖管理办法的通知》（廊政字〔2017〕39号）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经济效益指标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提升经济发展水平</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引导企业开展质量管理水平提升工作，提高社会发展供给水平，促进经济高质量发展</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提升</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《廊坊市人民政府关于印发廊坊市政府质量奖管理办法的通知》（廊政字〔2017〕39号）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企业满意度</w:t>
            </w:r>
            <w:r>
              <w:rPr>
                <w:rFonts w:ascii="方正书宋_GBK" w:eastAsia="方正书宋_GBK"/>
              </w:rPr>
              <w:tab/>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考察企业满意情况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≥85百分比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评审满意度结果统计</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jc w:val="left"/>
        <w:outlineLvl w:val="1"/>
        <w:rPr>
          <w:rFonts w:ascii="Times New Roman" w:hAnsi="宋体" w:eastAsia="宋体"/>
          <w:b/>
          <w:sz w:val="28"/>
        </w:rPr>
      </w:pPr>
      <w:r>
        <w:rPr>
          <w:rFonts w:ascii="方正仿宋_GBK" w:eastAsia="方正仿宋_GBK"/>
          <w:b/>
          <w:sz w:val="28"/>
        </w:rPr>
        <w:fldChar w:fldCharType="begin"/>
      </w:r>
      <w:r>
        <w:rPr>
          <w:rFonts w:ascii="方正仿宋_GBK" w:eastAsia="方正仿宋_GBK"/>
          <w:b/>
          <w:sz w:val="28"/>
        </w:rPr>
        <w:instrText xml:space="preserve"> TC </w:instrText>
      </w:r>
      <w:bookmarkStart w:id="1" w:name="_Toc29760873"/>
      <w:r>
        <w:rPr>
          <w:rFonts w:ascii="方正仿宋_GBK" w:eastAsia="方正仿宋_GBK"/>
          <w:b/>
          <w:sz w:val="28"/>
        </w:rPr>
        <w:instrText xml:space="preserve">38、知识产权资助与奖励专项资金绩效目标表</w:instrText>
      </w:r>
      <w:bookmarkEnd w:id="1"/>
      <w:r>
        <w:rPr>
          <w:rFonts w:ascii="方正仿宋_GBK" w:eastAsia="方正仿宋_GBK"/>
          <w:b/>
          <w:sz w:val="28"/>
        </w:rPr>
        <w:instrText xml:space="preserve"> \f C \l 1 </w:instrText>
      </w:r>
      <w:r>
        <w:rPr>
          <w:rFonts w:ascii="方正仿宋_GBK" w:eastAsia="方正仿宋_GBK"/>
          <w:b/>
          <w:sz w:val="28"/>
        </w:rPr>
        <w:fldChar w:fldCharType="end"/>
      </w:r>
    </w:p>
    <w:p>
      <w:pPr>
        <w:spacing w:line="14" w:lineRule="exact"/>
        <w:ind w:firstLine="420" w:firstLineChars="200"/>
        <w:jc w:val="center"/>
        <w:rPr>
          <w:rFonts w:ascii="Times New Roman" w:hAnsi="宋体" w:eastAsia="宋体"/>
        </w:rPr>
      </w:pPr>
      <w:r>
        <w:rPr>
          <w:rFonts w:ascii="方正书宋_GBK" w:eastAsia="方正书宋_GBK"/>
        </w:rPr>
        <w:t xml:space="preserve"> </w:t>
      </w:r>
    </w:p>
    <w:p>
      <w:pPr>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21</w:t>
      </w:r>
      <w:r>
        <w:rPr>
          <w:rFonts w:ascii="楷体_GB2312" w:hAnsi="Times New Roman" w:eastAsia="楷体_GB2312" w:cs="Times New Roman"/>
          <w:b/>
          <w:sz w:val="28"/>
        </w:rPr>
        <w:t>、质量强市建设经费绩效目标表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深入开展质量强市建设工作，坚持质量第一、效益优先原则，围绕六大质量，大力开展质量提升行动，把提高供给体系质量作为主攻方向，努力实现廊坊制造向廊坊创造、廊坊速度向廊坊质量、廊坊产品向廊坊品牌转变，全面提升我市经济、文化、社会、生态、城乡建设管理、政府服务质量水平。</w:t>
            </w:r>
          </w:p>
          <w:p>
            <w:pPr>
              <w:spacing w:line="300" w:lineRule="exact"/>
              <w:jc w:val="left"/>
              <w:rPr>
                <w:rFonts w:ascii="方正书宋_GBK" w:eastAsia="方正书宋_GBK"/>
              </w:rPr>
            </w:pPr>
            <w:r>
              <w:rPr>
                <w:rFonts w:ascii="方正书宋_GBK" w:eastAsia="方正书宋_GBK"/>
              </w:rPr>
              <w:t>2、通过实施，及时保值出具1份以上报告，增加优化质量大数据可视化系统，数据指标20个以上，挂牌成立质量综合服务平台1个，开展质量提升活动多于8次，提炼典型经验5个以上，微信平台推送信息60条以上，达到经济发展，提升政府服务质量水平的目标。推动我市经济发展质量变革、效率变革、动力变革，着力解决质量发展不平衡不充分问题，不断满足人民日益增长的质量需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报告数量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考察开展制造业质量提升诊断分析研究，形成专业分析报告数量</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≥1份</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《河北省实施质量强省和标准化战略2019年度工作要点》、《关于开展质量提升行动加快质量强市建设的实施意见》（廊发〔2018〕23号）、《廊坊市实施质量强市和标准化战略工作要点（2019-2020）》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优化质量大数据可视化系统，数据指标增加数量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考察优化质量大数据可视化系统，数据指标增加数量情况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≥20个</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《关于开展质量提升行动加快质量强市建设的实施意见》（廊发〔2018〕23号）、《廊坊市实施质量强市和标准化战略工作要点（2019-2020）》、大数据可视化系统数据指标统计表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成立平台数量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考察挂牌成立质量综合服务平台数量情况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1个</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《河北省实施质量强省和标准化战略2019年度工作要点》、《关于开展质量提升行动加快质量强市建设的实施意见》（廊发〔2018〕23号）、《廊坊市实施质量强市和标准化战略工作要点（2019-2020）》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活动开展次数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考察开展服务质量监测活动、开展对标学习活动等系列质量提升活动次数情况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≥5次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《河北省实施质量强省和标准化战略2019年度工作要点》、《关于开展质量提升行动加快质量强市建设的实施意见》（廊发〔2018〕23号）、《廊坊市实施质量强市和标准化战略工作要点（2019-2020）》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开展考核次数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考察质量强市考核工作市对县质量工作考核和对市质量强市领导小组成员单位的质量强市工作考核次数情况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廊坊市委干部考核领导小组关于印发《2018年度市管领导班子和领导干部绩效管理考评工作方案》的通知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典型经验数量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邀请质量专家对我市获得省、市政府质量奖及行业标杆企业进行先进质量管理典型经验提炼的数量</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≥5个</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《2019年全省质量发展工作要点》、河北省质量强省办公室《关于开展2018年度市级政府质量工作考核的通知》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信息发布数量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质量强市微信公众号推送工作信息数量</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≥60条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《关于开展质量提升行动加快质量强市建设的实施意见》（廊发〔2018〕23号）、微信公号运维合同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准确率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对我市制造业质量提升诊断指数分析研究的准确</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《关于开展质量提升行动加快质量强市建设的实施意见》（廊发〔2018〕23号）、委托研究机构资质及其相关成果报告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数据反映维度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质量大数据可视化系统涵盖行业领域更加广泛</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扩大</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《关于开展质量提升行动加快质量强市建设的实施意见》（廊发〔2018〕23号）、大数据可视化系统反映内容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符合率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开展产业和质量基础效能分析，符合我市当前产业发展状况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《关于开展质量提升行动加快质量强市建设的实施意见》（廊发〔2018〕23号）、委托研究机构资质及其相关成果报告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服务质量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建立质量综合服务平台，贴近企业提供质量方面的服务，企业咨询问题是否得到解决</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优</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《关于开展质量提升行动加快质量强市建设的实施意见》（廊发〔2018〕23号）、平台提供企业服务台账记录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关注度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通过开展系列质量提升行动，提高企业群众质量意识，增强对质量的关注程度</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提升</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《关于开展质量提升行动加快质量强市建设的实施意见》（廊发〔2018〕23号）、活动开展参加人员名单签到表及活动相关报道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工作完成率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完成省对市考核、下发市对县考核及对质量强市成员单位考核的通知</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省对市质量工作考核通知、市质量强市战略领导小组办公室关于开展对各县（市、区）、质量强市成员单位考核的通知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典型经验提炼质量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聘请质量专家针对我市省、市政府质量奖及行业标杆企业进行先进质量管理典型经验提炼，经验提炼是否准确是否可推广可复制</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优</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《关于开展质量提升行动加快质量强市建设的实施意见》（廊发〔2018〕23号）、《2019年全省质量发展工作要点》、专家资质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工作完成率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是否按照合同要求完成相关内容</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《关于开展质量提升行动加快质量强市建设的实施意见》（廊发〔2018〕23号）、微信公众号运维合同、微信号实际信息发布数量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质量强市及时性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考察质量强市及时性情况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12月</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《关于开展质量提升行动加快质量强市建设的实施意见》（廊发〔2018〕23号）、微信公众号运维合同、微信号实际信息发布数量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质量强市工作成本控制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考察质量强市工作成本控制情况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≤200万元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《关于开展质量提升行动加快质量强市建设的实施意见》（廊发〔2018〕23号）、微信公众号运维合同、微信号实际信息发布数量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提升政府服务质量水平</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考察政府服务质量水平提升情况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提升</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《中共中央 国务院关于开展质量提升行动的指导意见》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经济效益指标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经济发展</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不断将质量强市和标准化战略向纵深推进，推动我市经济发展质量变革、效率变革、动力变革，促进我市经济高质量发展。</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提升</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《关于开展质量提升加快质量强省建设的实施意见》（冀发〔2018〕35号）、《关于实施质量强市战略的意见》、《关于开展质量提升行动加快质量强市建设的实施意见》（廊发〔2018〕23号）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社会发展影响</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质量强市建设工作的持续深入开展，对推进我市社会全面高质量发展产生的影响</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长期</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《中共中央 国务院关于开展质量提升行动的指导意见》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工作满意度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本年度质量强市工作开展满意度调查</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满意度结果统计</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22</w:t>
      </w:r>
      <w:r>
        <w:rPr>
          <w:rFonts w:ascii="楷体_GB2312" w:hAnsi="Times New Roman" w:eastAsia="楷体_GB2312" w:cs="Times New Roman"/>
          <w:b/>
          <w:sz w:val="28"/>
        </w:rPr>
        <w:t>、产品质量检验检测经费绩效目标表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1、通过项目开展，及时完成4批次以上年度检测任务，发放劳务人员18人劳务费，租用6辆抽检业务用车，达到业务抽检租用车辆质量达标率100%。</w:t>
            </w:r>
          </w:p>
          <w:p>
            <w:pPr>
              <w:spacing w:line="300" w:lineRule="exact"/>
              <w:jc w:val="left"/>
              <w:rPr>
                <w:rFonts w:ascii="方正书宋_GBK" w:eastAsia="方正书宋_GBK"/>
              </w:rPr>
            </w:pPr>
            <w:r>
              <w:rPr>
                <w:rFonts w:ascii="方正书宋_GBK" w:eastAsia="方正书宋_GBK"/>
              </w:rPr>
              <w:t>2、通过开展此项目保证检测设备正常运转，检测结果差错率小于等于1%。为专业技术人员提供物质及能力提升保障。提升服务水平，提高被服务部门满意度。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年度检测任务的计划数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考察全年检测任务监督抽查数量情况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≥4批次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业务抽检租用车辆数量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考察业务抽检租用车辆数量情况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6辆</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发放劳务费人数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考察发放劳务费人数情况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≥18人</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业务抽检租用车辆质量达标率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考察业务抽检租用车辆质量达标情况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应尽应补率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考察发放劳务费应尽应补情况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技术水平质量达标率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考察聘用技术人员的技术水平、服务能力达标情况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检测结果差错率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考察检测结果差错情况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《质量手册》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任务完成的及时率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考察在规定时间内检测完成情况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《质量手册》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控制成本</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考察项目成本控制情况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≤257万元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客户投诉率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考察客户投诉情况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《质量手册》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提高检验检测水平</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考察检验检测技术水平提高情况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提高</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档案管理机制健全性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考察档案管理机制健全情况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健全</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档案管理机制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客户满意度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考察客户满意情况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≥98%</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《质量手册》</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23</w:t>
      </w:r>
      <w:r>
        <w:rPr>
          <w:rFonts w:ascii="楷体_GB2312" w:hAnsi="Times New Roman" w:eastAsia="楷体_GB2312" w:cs="Times New Roman"/>
          <w:b/>
          <w:sz w:val="28"/>
        </w:rPr>
        <w:t>、电子信息中心综合运行费绩效目标表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1、通过项目开展实现提高区域电子产品检测能力，扩大监测范围，检验结果准确率大于98%。及时完成2批次以上年度检测任务，客户满意度大于等于98%，准确发放大于等于20人的劳务费用。</w:t>
            </w:r>
          </w:p>
          <w:p>
            <w:pPr>
              <w:spacing w:line="300" w:lineRule="exact"/>
              <w:jc w:val="left"/>
              <w:rPr>
                <w:rFonts w:ascii="方正书宋_GBK" w:eastAsia="方正书宋_GBK"/>
              </w:rPr>
            </w:pPr>
            <w:r>
              <w:rPr>
                <w:rFonts w:ascii="方正书宋_GBK" w:eastAsia="方正书宋_GBK"/>
              </w:rPr>
              <w:t>2、通过项目开展，确保中心四个检测室正常运转，为专业技术人员提供物质保障，检测设备定期检测，确保检测数据科学准确，按时完成政府部门下达的2020年检测计划。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年度检测任务的批次</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考察全年检测任务的批次情况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≥2批次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发放劳务费人数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考察发放劳务费人数情况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≥20人</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设备检定次数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考察设备检定次数情况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《设备检定计划》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检测结果准确率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考察检测结果准确情况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&gt;98%</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《质量手册》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购置材料验收通过率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考察购置材料验收通过情况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《验收记录》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技术水平质量达标率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考察聘用技术人员的技术水平、服务能力达标情况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《部门职责和岗位职责》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任务完成的及时率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考察规定时间内完成检测计划或任务/按时出具检测数据情况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&gt;95%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《质量手册》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控制总成本</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≤225万元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提高检验检测水平</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考察检验检测技术水平提高情况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提高</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档案管理机制健全性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考察档案管理机制健全情况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健全</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客户满意度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考察客户满意情况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≥98%</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《质量手册》</w:t>
            </w:r>
          </w:p>
        </w:tc>
      </w:tr>
    </w:tbl>
    <w:p>
      <w:pPr>
        <w:spacing w:line="300" w:lineRule="exact"/>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24、</w:t>
      </w:r>
      <w:r>
        <w:rPr>
          <w:rFonts w:ascii="楷体_GB2312" w:hAnsi="Times New Roman" w:eastAsia="楷体_GB2312" w:cs="Times New Roman"/>
          <w:b/>
          <w:sz w:val="28"/>
        </w:rPr>
        <w:t>质量仪器设备购置经费绩效目标表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1、本项目从2019年10月开始安排，项目用于购置11台套专业检测设备，达到提升我单位个检测部门的检测能力目标。</w:t>
            </w:r>
          </w:p>
          <w:p>
            <w:pPr>
              <w:spacing w:line="300" w:lineRule="exact"/>
              <w:jc w:val="left"/>
              <w:rPr>
                <w:rFonts w:ascii="方正书宋_GBK" w:eastAsia="方正书宋_GBK"/>
              </w:rPr>
            </w:pPr>
            <w:r>
              <w:rPr>
                <w:rFonts w:ascii="方正书宋_GBK" w:eastAsia="方正书宋_GBK"/>
              </w:rPr>
              <w:t>2、通过项目的实施及时完成采购设备11台套，采购设备全部产品验收通过率达到100%，招标程序合规率达到100%，达到提升检测能力的目标。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购置设备的数量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考察购置设备数量的情况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11台套</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设备购置的验收通过率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考察购置设备验收通过情况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《验收记录》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招标程序合规率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考察招标程序合格情况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《政府采购法》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≤210万元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采购设备的及时率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考察设备采购及时情况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提升检测能力</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考察检测能力提升情况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提升</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设备维护机制健全性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设备维护机制健全性</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健全</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设备维护机制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服务企业满意度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通过满意度调查表显示受益群体对工作活动认可率</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≥98%</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25、</w:t>
      </w:r>
      <w:r>
        <w:rPr>
          <w:rFonts w:ascii="楷体_GB2312" w:hAnsi="Times New Roman" w:eastAsia="楷体_GB2312" w:cs="Times New Roman"/>
          <w:b/>
          <w:sz w:val="28"/>
        </w:rPr>
        <w:t>提前下达2020年棉花公证检验经费（冀财行〔2019〕29号绩效目标表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1、按照规定时限完成检验任务。2、检验数据公平、公正。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检验经费成本控制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≥188万元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上级安排的任务量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检验批次</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统计检验批次</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≥220批</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上级安排的任务量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满足检验时限要求</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完成棉花公正检验时限的要求</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14天</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检验标准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完成检验任务</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完成上级交办的检验任务情况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≥220批</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上级安排的任务量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被检单位的满意度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考察被检单位对检验数据的满意度</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≥85百分比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被检单位数</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26</w:t>
      </w:r>
      <w:r>
        <w:rPr>
          <w:rFonts w:ascii="楷体_GB2312" w:hAnsi="Times New Roman" w:eastAsia="楷体_GB2312" w:cs="Times New Roman"/>
          <w:b/>
          <w:sz w:val="28"/>
        </w:rPr>
        <w:t>、专用仪器设备购置经费绩效目标表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1、通过项目实施，及时完成8台设备的购置，达到设备验收通过率为100%，控制总成本在12.18万元以内。</w:t>
            </w:r>
          </w:p>
          <w:p>
            <w:pPr>
              <w:spacing w:line="300" w:lineRule="exact"/>
              <w:jc w:val="left"/>
              <w:rPr>
                <w:rFonts w:ascii="方正书宋_GBK" w:eastAsia="方正书宋_GBK"/>
              </w:rPr>
            </w:pPr>
            <w:r>
              <w:rPr>
                <w:rFonts w:ascii="方正书宋_GBK" w:eastAsia="方正书宋_GBK"/>
              </w:rPr>
              <w:t>2、达到提高检测结果合格水平的目标。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设备购置数量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考察设备购置数量情况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8台</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设备购置验收通过率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考察设备购置验收通过情况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《验收单》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设备购置成本控制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考察设备购置成本控制情况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≤12.18万元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设备购置完成的及时率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考察设备购置完成及时情况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《验收单》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提高检测结果合格水平</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考察提高检测结果的合格水平情况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提高</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设备维护机制健全性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考察设备维护机制健全情况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健全</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设备维护机制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被检测单位及个人的满意度</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≥90百分比</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投诉单</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 xml:space="preserve">   27、</w:t>
      </w:r>
      <w:r>
        <w:rPr>
          <w:rFonts w:ascii="楷体_GB2312" w:hAnsi="Times New Roman" w:eastAsia="楷体_GB2312" w:cs="Times New Roman"/>
          <w:b/>
          <w:sz w:val="28"/>
        </w:rPr>
        <w:t>设备检定及维修维护费绩效目标表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1、通过项目的实施，及时完成多于100台设备的2次以上的检定，达到检定差错率小于1%，促进食品质量提升的目标。确保供应及时，质量符合要求，保障食品检验工作顺利开展。</w:t>
            </w:r>
          </w:p>
          <w:p>
            <w:pPr>
              <w:spacing w:line="300" w:lineRule="exact"/>
              <w:jc w:val="left"/>
              <w:rPr>
                <w:rFonts w:ascii="方正书宋_GBK" w:eastAsia="方正书宋_GBK"/>
              </w:rPr>
            </w:pPr>
            <w:r>
              <w:rPr>
                <w:rFonts w:ascii="方正书宋_GBK" w:eastAsia="方正书宋_GBK"/>
              </w:rPr>
              <w:t>2、通过检验数据准确度确保我市食品安全，保证人民群众饮食安全。项目预计年底结束。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检验及维修次数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考察检定及维修次数情况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检定仪器设备数量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考察检定仪器设备数量情况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≥100台</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检验差错率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考察检验报告结论错误或发生严重差错的报告批数占全年任务总批数比例情况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&gt;1%</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《质量管理规定》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检定及时率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考察检定及时情况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《质量管理规定》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考察检定及维修成本控制情况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≥15万元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本所质量管理规定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促进食品质量提升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考察促进我市食品质量提升情况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0促进</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《2019年河北省食品监督抽检计划》《2019年廊坊市食品监督抽验计划》</w:t>
            </w:r>
          </w:p>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设备维护机制健全性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考察设备维护机制健全情况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0健全</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设备维护机制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检验检测客户满意率</w:t>
            </w:r>
            <w:r>
              <w:rPr>
                <w:rFonts w:ascii="方正书宋_GBK" w:eastAsia="方正书宋_GBK"/>
              </w:rPr>
              <w:tab/>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考察检验检测客户满意情况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调查问卷</w:t>
            </w:r>
          </w:p>
        </w:tc>
      </w:tr>
    </w:tbl>
    <w:p>
      <w:pPr>
        <w:spacing w:line="300" w:lineRule="exact"/>
        <w:jc w:val="left"/>
        <w:sectPr>
          <w:pgSz w:w="16839" w:h="11907" w:orient="landscape"/>
          <w:pgMar w:top="1304" w:right="1984" w:bottom="1304" w:left="1134" w:header="851" w:footer="992" w:gutter="0"/>
          <w:cols w:space="425" w:num="1"/>
          <w:docGrid w:type="lines" w:linePitch="312" w:charSpace="0"/>
        </w:sectPr>
      </w:pPr>
    </w:p>
    <w:p>
      <w:pPr>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 xml:space="preserve">   28</w:t>
      </w:r>
      <w:r>
        <w:rPr>
          <w:rFonts w:ascii="楷体_GB2312" w:hAnsi="Times New Roman" w:eastAsia="楷体_GB2312" w:cs="Times New Roman"/>
          <w:b/>
          <w:sz w:val="28"/>
        </w:rPr>
        <w:t>、设备质量保证金绩效目标表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1、通过开展本项目，解决检验工作所需设备的质量保证，确保完成省、市监管部门下达的食品抽检等检验任务，为监管部门提供技术支撑，保障人民群众食品安全。</w:t>
            </w:r>
          </w:p>
          <w:p>
            <w:pPr>
              <w:spacing w:line="300" w:lineRule="exact"/>
              <w:jc w:val="left"/>
              <w:rPr>
                <w:rFonts w:ascii="方正书宋_GBK" w:eastAsia="方正书宋_GBK"/>
              </w:rPr>
            </w:pPr>
            <w:r>
              <w:rPr>
                <w:rFonts w:ascii="方正书宋_GBK" w:eastAsia="方正书宋_GBK"/>
              </w:rPr>
              <w:t>2、通过项目的实施，及时完成多于4次以上设备质量保证金的支付，达到差错率小于1%，促进食品质量提升的目标。确保供应及时，质量符合要求，保障食品检验工作顺利开展。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支付次数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考察支出次数情况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≥4次</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根据合同及验收报告</w:t>
            </w:r>
          </w:p>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支付差错率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考察支付错误次数或发生严重差错的次数占全年总批数比例情况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完成付款时间</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考察合同及验收报告支付时间占全年比例情况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&gt;9月</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根据合同及验收报告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考察设备质量保证金金额</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≥25.4万元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设备质量保证金机制健全性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考察设备质量保证金机制健情况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0健全</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设备质量保证金机制</w:t>
            </w:r>
          </w:p>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经济效益指标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促进食品质量提升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考察促进我市食品质量提升情况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0促进</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《2019年河北省食品监督抽检计划》《2019年廊坊市食品监督抽验计划》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支付设备质保金客户满意度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考察支付设备保证金客户满意情况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调查问卷</w:t>
            </w:r>
          </w:p>
          <w:p>
            <w:pPr>
              <w:spacing w:line="300" w:lineRule="exact"/>
              <w:jc w:val="left"/>
              <w:rPr>
                <w:rFonts w:ascii="方正书宋_GBK" w:eastAsia="方正书宋_GBK"/>
              </w:rPr>
            </w:pP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29</w:t>
      </w:r>
      <w:r>
        <w:rPr>
          <w:rFonts w:ascii="楷体_GB2312" w:hAnsi="Times New Roman" w:eastAsia="楷体_GB2312" w:cs="Times New Roman"/>
          <w:b/>
          <w:sz w:val="28"/>
        </w:rPr>
        <w:t>、食品检验检测经费绩效目标表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1、通过检验数据准确度确保我市食品安全，保证人民群众饮食安全。不出现重大食品安全事故；提升重大活动餐饮服务食品安全监管水平，规范重大活动餐饮服务单位食品安全监管。</w:t>
            </w:r>
          </w:p>
          <w:p>
            <w:pPr>
              <w:spacing w:line="300" w:lineRule="exact"/>
              <w:jc w:val="left"/>
              <w:rPr>
                <w:rFonts w:ascii="方正书宋_GBK" w:eastAsia="方正书宋_GBK"/>
              </w:rPr>
            </w:pPr>
            <w:r>
              <w:rPr>
                <w:rFonts w:ascii="方正书宋_GBK" w:eastAsia="方正书宋_GBK"/>
              </w:rPr>
              <w:t>2、通过项目的实施，及时完成多于600批次以上的食品检验检测任务，达到检验差错率小于1%，促进食品质量提升的目标。确保供应及时，质量符合要求，保障食品检验工作顺利开展。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食品检验完成批数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考察开展的食品检验、监测等任务批数</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≥600批</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《2019年河北省食品品监督抽检计划》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检验差错率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考察检验报告结论错误或发生严重差错的报告批数占全年任务总批数比例</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&gt;1%</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《质量管理规定》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检验及时率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考察检验及时情况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《质量管理规定》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考察检验任务批数发生的各项费用</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≥150万元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检验检测机制健全性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考察检验检测机制健全情况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0健全</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检验检测机制健全性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促进食品质量提升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考察促进我市食品质量提升情况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0促进</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《2019年河北省食品监督抽检计划》《2019年廊坊市食品监督抽验计划》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检验检测客户满意度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考察检验检测客户满意情况</w:t>
            </w:r>
            <w:r>
              <w:rPr>
                <w:rFonts w:ascii="方正书宋_GBK" w:eastAsia="方正书宋_GBK"/>
              </w:rPr>
              <w:tab/>
            </w:r>
          </w:p>
          <w:p>
            <w:pPr>
              <w:spacing w:line="300" w:lineRule="exact"/>
              <w:jc w:val="left"/>
              <w:rPr>
                <w:rFonts w:ascii="方正书宋_GBK" w:eastAsia="方正书宋_GBK"/>
              </w:rPr>
            </w:pP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调查问卷</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30</w:t>
      </w:r>
      <w:r>
        <w:rPr>
          <w:rFonts w:ascii="楷体_GB2312" w:hAnsi="Times New Roman" w:eastAsia="楷体_GB2312" w:cs="Times New Roman"/>
          <w:b/>
          <w:sz w:val="28"/>
        </w:rPr>
        <w:t>、食品检验检测专用材料及试剂资金绩效目标表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1、通过开展本项目，解决检验工作所需的专用耗材、试剂，确保完成省、市监管部门下达的食品抽检等检验任务，为监管部门提供技术支撑，保障人民群众食品安全。</w:t>
            </w:r>
          </w:p>
          <w:p>
            <w:pPr>
              <w:spacing w:line="300" w:lineRule="exact"/>
              <w:jc w:val="left"/>
              <w:rPr>
                <w:rFonts w:ascii="方正书宋_GBK" w:eastAsia="方正书宋_GBK"/>
              </w:rPr>
            </w:pPr>
            <w:r>
              <w:rPr>
                <w:rFonts w:ascii="方正书宋_GBK" w:eastAsia="方正书宋_GBK"/>
              </w:rPr>
              <w:t>2、通过项目的实施，及时完成多于3次以上的专用耗材及试剂的政府采购，达到检验差错率小于1%，促进食品质量提升的目标。确保供应及时，质量符合要求，保障食品检验工作顺利开展。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专用材料及试剂采购量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考察采购的各种等级、规格的专用材料及试剂数量</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≤3批</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检验差错率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考察检验报告结论错误或发生严重差错的报告批数占全年任务总批数比例情况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&gt;1%</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《质量管理规定》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专用耗材及试剂购置的及时率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考察专用耗材及试剂购置的及时情况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《质量管理规定》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成本控制</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考察专用材料及试剂成本</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≥150万元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部门工作计划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促进食品质量提升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考察促进我市食品质量提升情况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0促进</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《2019年河北省食品监督抽检计划》《2019年廊坊市食品监督抽验计划》</w:t>
            </w:r>
          </w:p>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专用耗材及试剂机制健全性</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考察采购专用耗材及试剂机制健全情况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≥0健全</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采购耗材及试剂机制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质量满意度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考察验收情况，使用科室对专用耗材晃试剂质量的满意情况</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调查问卷</w:t>
            </w:r>
          </w:p>
        </w:tc>
      </w:tr>
    </w:tbl>
    <w:p>
      <w:pPr>
        <w:spacing w:line="300" w:lineRule="exact"/>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 xml:space="preserve">   31、</w:t>
      </w:r>
      <w:r>
        <w:rPr>
          <w:rFonts w:ascii="楷体_GB2312" w:hAnsi="Times New Roman" w:eastAsia="楷体_GB2312" w:cs="Times New Roman"/>
          <w:b/>
          <w:sz w:val="28"/>
        </w:rPr>
        <w:t>实验用试剂及玻璃仪器购置费绩效目标表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1、通过开展本项目，解决检验工作所需的试剂、玻璃仪器，确保完成省、市药品监管部门下达的药品抽检等检验任务，为药品监管提供技术支撑，保障人民群众用药安全。</w:t>
            </w:r>
          </w:p>
          <w:p>
            <w:pPr>
              <w:spacing w:line="300" w:lineRule="exact"/>
              <w:jc w:val="left"/>
              <w:rPr>
                <w:rFonts w:ascii="方正书宋_GBK" w:eastAsia="方正书宋_GBK"/>
              </w:rPr>
            </w:pPr>
            <w:r>
              <w:rPr>
                <w:rFonts w:ascii="方正书宋_GBK" w:eastAsia="方正书宋_GBK"/>
              </w:rPr>
              <w:t>2、按时完成试剂和玻璃仪器采购工作，购置试剂不少于40种共600瓶，玻璃仪器不少于20种共400件，确保供应及时，质量符合要求，保障药品检验工作顺利开展。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化学试剂采购量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按照检验工作需要采购的各种等级、规格的化学试剂数量</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≥600瓶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按往年检验工作需要及采购量估算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玻璃仪器采购量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按照检验工作需要采购的常规、量具、专用等类别的玻璃仪器件数</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≥400件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按往年检验工作需要及采购量估算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化学试剂合格率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质量符合要求的试剂数量÷试剂采购总量</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本所供应品符合性验收规程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玻璃仪器合格率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质量符合要求的玻璃仪器数量÷玻璃仪器采购总量</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本所供应品符合性验收规程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采购完成时间</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确定供应商签订合同并形成实际支出的时间</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≤6月</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按采购方案要求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采购总成本</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化学试剂采购成本（按合同金额）+玻璃仪器采购成本（按合同金额）</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≤17万元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按往年检验工作需要及采购量估算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提升药品质量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本项目用于完成药品检验任务，促进我市药品质量提升，检验任务全部或超额完成为100%。</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100%（H17）</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《2019年河北省药品监督抽检计划》《2019年廊坊市药品监督抽验计划》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长期效果</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本项目可促进我市药品质量提升，具有长期效果。</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≥1年</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《廊坊市食品药品安全“十三五”规划》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质量满意度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根据验收情况，使用科室对试剂、玻璃仪器质量的满意度测评（结果为满意的测评次数占测评总次数的比例）</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供应品符合性验收规程及资料</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562" w:firstLineChars="200"/>
        <w:jc w:val="left"/>
        <w:outlineLvl w:val="1"/>
        <w:rPr>
          <w:rFonts w:ascii="楷体_GB2312" w:hAnsi="Times New Roman" w:eastAsia="楷体_GB2312" w:cs="Times New Roman"/>
          <w:b/>
          <w:sz w:val="28"/>
        </w:rPr>
      </w:pPr>
      <w:r>
        <w:rPr>
          <w:rFonts w:hint="eastAsia" w:ascii="楷体_GB2312" w:hAnsi="Times New Roman" w:eastAsia="楷体_GB2312" w:cs="Times New Roman"/>
          <w:b/>
          <w:sz w:val="28"/>
        </w:rPr>
        <w:t>32</w:t>
      </w:r>
      <w:r>
        <w:rPr>
          <w:rFonts w:ascii="楷体_GB2312" w:hAnsi="Times New Roman" w:eastAsia="楷体_GB2312" w:cs="Times New Roman"/>
          <w:b/>
          <w:sz w:val="28"/>
        </w:rPr>
        <w:t>、实验用特殊耗材及标准物质购置费绩效目标表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1、通过开展本项目，解决检验工作所需的特殊耗材、标准物质，确保完成省、市药品监管部门下达的药品抽检等检验任务，为药品监管提供技术支撑，保障人民群众用药安全。</w:t>
            </w:r>
          </w:p>
          <w:p>
            <w:pPr>
              <w:spacing w:line="300" w:lineRule="exact"/>
              <w:jc w:val="left"/>
              <w:rPr>
                <w:rFonts w:ascii="方正书宋_GBK" w:eastAsia="方正书宋_GBK"/>
              </w:rPr>
            </w:pPr>
            <w:r>
              <w:rPr>
                <w:rFonts w:ascii="方正书宋_GBK" w:eastAsia="方正书宋_GBK"/>
              </w:rPr>
              <w:t>2、按时完成特殊耗材标准物质采购工作，购置特殊耗材不少于5种共40件，采购标准物质不少于50种共240支，确保供应及时，质量符合要求，保障药品检验工作顺利开展。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特殊耗材采购量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按照检验工作需要采购的各种类别、规格的特殊耗材数量</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≥40件</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按往年检验工作需要及采购量估算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标准物质采购量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按照检验工作需要采购的标准物质总数</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≥240支</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按往年检验工作需要及采购量估算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特殊耗材合格率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质量符合要求的特殊耗材数量÷特殊耗材采购总量</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本所供应品符合性验收规程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标准物质合格率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质量符合要求的标准物质数量÷标准物质采购总量</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≥99%</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本所供应品符合性验收规程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采购完成时间</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确定供应商签订合同并形成实际支出的时间</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≤6月</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按采购方案要求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采购总成本</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特殊耗材采购合同金额+标准物质采购合同金额</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≤22万元</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按往年检验工作需要及采购量估算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提升药品质量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本项目用于完成药品检验任务，促进我市药品质量提升，检验任务全部或超额完成为100%。</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100%（H17）</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《2019年河北省药品监督抽检计划》《2019年廊坊市药品监督抽验计划》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长期效果</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 xml:space="preserve">本项目可促进我市药品质量提升，具有长期效果。 </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≥1年</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《廊坊市食品药品安全“十三五”规划》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质量满意度</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根据验收情况，使用科室对特殊耗材、标准物质采购质量的满意度测评（结果为满意的测评次数占测评总次数的比例）</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供应品符合性验收规程及资料</w:t>
            </w:r>
          </w:p>
        </w:tc>
      </w:tr>
    </w:tbl>
    <w:p>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pPr>
        <w:ind w:firstLine="981" w:firstLineChars="349"/>
        <w:jc w:val="left"/>
        <w:outlineLvl w:val="1"/>
        <w:rPr>
          <w:rFonts w:ascii="楷体_GB2312" w:eastAsia="楷体_GB2312"/>
          <w:b/>
          <w:sz w:val="28"/>
        </w:rPr>
      </w:pPr>
      <w:r>
        <w:rPr>
          <w:rFonts w:hint="eastAsia" w:ascii="楷体_GB2312" w:hAnsi="Times New Roman" w:eastAsia="楷体_GB2312" w:cs="Times New Roman"/>
          <w:b/>
          <w:sz w:val="28"/>
        </w:rPr>
        <w:t>33</w:t>
      </w:r>
      <w:r>
        <w:rPr>
          <w:rFonts w:ascii="楷体_GB2312" w:hAnsi="Times New Roman" w:eastAsia="楷体_GB2312" w:cs="Times New Roman"/>
          <w:b/>
          <w:sz w:val="28"/>
        </w:rPr>
        <w:t>、</w:t>
      </w:r>
      <w:r>
        <w:rPr>
          <w:rFonts w:hint="eastAsia" w:ascii="楷体_GB2312" w:eastAsia="楷体_GB2312"/>
          <w:b/>
          <w:sz w:val="28"/>
        </w:rPr>
        <w:t>提前下达2020年省级食品药品监管补助经费（冀财行（2019）45号）绩效目标表</w:t>
      </w:r>
    </w:p>
    <w:tbl>
      <w:tblPr>
        <w:tblStyle w:val="5"/>
        <w:tblW w:w="142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27"/>
        <w:gridCol w:w="2268"/>
        <w:gridCol w:w="1985"/>
        <w:gridCol w:w="3402"/>
        <w:gridCol w:w="1843"/>
        <w:gridCol w:w="21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绩效目标</w:t>
            </w:r>
          </w:p>
        </w:tc>
        <w:tc>
          <w:tcPr>
            <w:tcW w:w="11601" w:type="dxa"/>
            <w:gridSpan w:val="5"/>
            <w:shd w:val="clear" w:color="auto" w:fill="auto"/>
            <w:vAlign w:val="center"/>
          </w:tcPr>
          <w:p>
            <w:pPr>
              <w:spacing w:line="300" w:lineRule="exact"/>
              <w:jc w:val="left"/>
              <w:rPr>
                <w:rFonts w:ascii="方正书宋_GBK" w:eastAsia="方正书宋_GBK"/>
              </w:rPr>
            </w:pPr>
            <w:r>
              <w:rPr>
                <w:rFonts w:ascii="方正书宋_GBK" w:eastAsia="方正书宋_GBK"/>
              </w:rPr>
              <w:t>1、按省、市药品抽检计划要求，完成上级药品监管部门下达的药品抽检检验任务，为药品监管提供技术支撑，保障人民群众用药安全。</w:t>
            </w:r>
          </w:p>
          <w:p>
            <w:pPr>
              <w:spacing w:line="300" w:lineRule="exact"/>
              <w:jc w:val="left"/>
              <w:rPr>
                <w:rFonts w:ascii="方正书宋_GBK" w:eastAsia="方正书宋_GBK"/>
              </w:rPr>
            </w:pPr>
            <w:r>
              <w:rPr>
                <w:rFonts w:ascii="方正书宋_GBK" w:eastAsia="方正书宋_GBK"/>
              </w:rPr>
              <w:t>2、为开展省级药品抽检工作提供资金保障，按省、市药品抽检计划要求完成药品抽检任务，抽检准确率达到100%，品种、项目达到规定要求。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627" w:type="dxa"/>
            <w:shd w:val="clear" w:color="auto" w:fill="auto"/>
            <w:vAlign w:val="center"/>
          </w:tcPr>
          <w:p>
            <w:pPr>
              <w:spacing w:line="300" w:lineRule="exact"/>
              <w:jc w:val="center"/>
              <w:rPr>
                <w:rFonts w:ascii="方正书宋_GBK" w:eastAsia="方正书宋_GBK"/>
                <w:b/>
              </w:rPr>
            </w:pPr>
            <w:r>
              <w:rPr>
                <w:rFonts w:ascii="方正书宋_GBK" w:eastAsia="方正书宋_GBK"/>
                <w:b/>
              </w:rPr>
              <w:t>一级指标</w:t>
            </w:r>
          </w:p>
        </w:tc>
        <w:tc>
          <w:tcPr>
            <w:tcW w:w="2268" w:type="dxa"/>
            <w:shd w:val="clear" w:color="auto" w:fill="auto"/>
            <w:vAlign w:val="center"/>
          </w:tcPr>
          <w:p>
            <w:pPr>
              <w:spacing w:line="300" w:lineRule="exact"/>
              <w:jc w:val="center"/>
              <w:rPr>
                <w:rFonts w:ascii="方正书宋_GBK" w:eastAsia="方正书宋_GBK"/>
                <w:b/>
              </w:rPr>
            </w:pPr>
            <w:r>
              <w:rPr>
                <w:rFonts w:ascii="方正书宋_GBK" w:eastAsia="方正书宋_GBK"/>
                <w:b/>
              </w:rPr>
              <w:t>二级指标</w:t>
            </w:r>
          </w:p>
        </w:tc>
        <w:tc>
          <w:tcPr>
            <w:tcW w:w="1985" w:type="dxa"/>
            <w:shd w:val="clear" w:color="auto" w:fill="auto"/>
            <w:vAlign w:val="center"/>
          </w:tcPr>
          <w:p>
            <w:pPr>
              <w:spacing w:line="300" w:lineRule="exact"/>
              <w:jc w:val="center"/>
              <w:rPr>
                <w:rFonts w:ascii="方正书宋_GBK" w:eastAsia="方正书宋_GBK"/>
                <w:b/>
              </w:rPr>
            </w:pPr>
            <w:r>
              <w:rPr>
                <w:rFonts w:ascii="方正书宋_GBK" w:eastAsia="方正书宋_GBK"/>
                <w:b/>
              </w:rPr>
              <w:t>三级指标</w:t>
            </w:r>
          </w:p>
        </w:tc>
        <w:tc>
          <w:tcPr>
            <w:tcW w:w="3402" w:type="dxa"/>
            <w:shd w:val="clear" w:color="auto" w:fill="auto"/>
            <w:vAlign w:val="center"/>
          </w:tcPr>
          <w:p>
            <w:pPr>
              <w:spacing w:line="300" w:lineRule="exact"/>
              <w:jc w:val="center"/>
              <w:rPr>
                <w:rFonts w:ascii="方正书宋_GBK" w:eastAsia="方正书宋_GBK"/>
                <w:b/>
              </w:rPr>
            </w:pPr>
            <w:r>
              <w:rPr>
                <w:rFonts w:ascii="方正书宋_GBK" w:eastAsia="方正书宋_GBK"/>
                <w:b/>
              </w:rPr>
              <w:t>绩效指标描述</w:t>
            </w:r>
          </w:p>
        </w:tc>
        <w:tc>
          <w:tcPr>
            <w:tcW w:w="184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w:t>
            </w:r>
          </w:p>
        </w:tc>
        <w:tc>
          <w:tcPr>
            <w:tcW w:w="2103" w:type="dxa"/>
            <w:shd w:val="clear" w:color="auto" w:fill="auto"/>
            <w:vAlign w:val="center"/>
          </w:tcPr>
          <w:p>
            <w:pPr>
              <w:spacing w:line="300" w:lineRule="exact"/>
              <w:jc w:val="center"/>
              <w:rPr>
                <w:rFonts w:ascii="方正书宋_GBK" w:eastAsia="方正书宋_GBK"/>
                <w:b/>
              </w:rPr>
            </w:pPr>
            <w:r>
              <w:rPr>
                <w:rFonts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产出指标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数量指标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药品检验完成批数</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按照省市药品抽检计划等要求，全年开展的药品检验、监测等任务批数</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≥300批</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《2020年河北省药品监督抽检计划》《2020年廊坊市药品监督抽验计划》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质量指标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样品检测率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按抽检计划抽取的样品全部进行检验，样品检测率为100%，超额完成为大于100%</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03"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成本指标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每批平均检验成本</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药品监管补助经费(检验费)支出÷全年检验任务批数</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≤3000元</w:t>
            </w:r>
          </w:p>
        </w:tc>
        <w:tc>
          <w:tcPr>
            <w:tcW w:w="2103"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时效指标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检验及时率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在省市药品抽检计划规定时限内完成的批数占全年任务总批数的比例</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restart"/>
            <w:shd w:val="clear" w:color="auto" w:fill="auto"/>
            <w:vAlign w:val="center"/>
          </w:tcPr>
          <w:p>
            <w:pPr>
              <w:spacing w:line="300" w:lineRule="exact"/>
              <w:jc w:val="center"/>
              <w:rPr>
                <w:rFonts w:ascii="方正书宋_GBK" w:eastAsia="方正书宋_GBK"/>
              </w:rPr>
            </w:pPr>
            <w:r>
              <w:rPr>
                <w:rFonts w:ascii="方正书宋_GBK" w:eastAsia="方正书宋_GBK"/>
              </w:rPr>
              <w:t>效果指标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社会效益指标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提升药品质量</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本项目用于完成药品抽检检验任务，促进我市药品质量总体水平提升，检验任务全部完成为100%，超额完成为大于100%。</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≥100%</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《2020年河北省药品监督抽检计划》《2020年廊坊市药品监督抽验计划》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vMerge w:val="continue"/>
            <w:shd w:val="clear" w:color="auto" w:fill="auto"/>
            <w:vAlign w:val="center"/>
          </w:tcPr>
          <w:p>
            <w:pPr>
              <w:spacing w:line="300" w:lineRule="exact"/>
              <w:jc w:val="center"/>
              <w:rPr>
                <w:rFonts w:ascii="方正书宋_GBK" w:eastAsia="方正书宋_GBK"/>
              </w:rPr>
            </w:pP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可持续影响指标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长期效果</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本项目可促进我市药品质量提升，具有长期效果。</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≥1年</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《廊坊市食品药品安全“十三五”规划》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627" w:type="dxa"/>
            <w:shd w:val="clear" w:color="auto" w:fill="auto"/>
            <w:vAlign w:val="center"/>
          </w:tcPr>
          <w:p>
            <w:pPr>
              <w:spacing w:line="300" w:lineRule="exact"/>
              <w:jc w:val="center"/>
              <w:rPr>
                <w:rFonts w:ascii="方正书宋_GBK" w:eastAsia="方正书宋_GBK"/>
              </w:rPr>
            </w:pPr>
            <w:r>
              <w:rPr>
                <w:rFonts w:ascii="方正书宋_GBK" w:eastAsia="方正书宋_GBK"/>
              </w:rPr>
              <w:t>满意度指标</w:t>
            </w:r>
          </w:p>
        </w:tc>
        <w:tc>
          <w:tcPr>
            <w:tcW w:w="2268" w:type="dxa"/>
            <w:shd w:val="clear" w:color="auto" w:fill="auto"/>
            <w:vAlign w:val="center"/>
          </w:tcPr>
          <w:p>
            <w:pPr>
              <w:spacing w:line="300" w:lineRule="exact"/>
              <w:jc w:val="left"/>
              <w:rPr>
                <w:rFonts w:ascii="方正书宋_GBK" w:eastAsia="方正书宋_GBK"/>
              </w:rPr>
            </w:pPr>
            <w:r>
              <w:rPr>
                <w:rFonts w:ascii="方正书宋_GBK" w:eastAsia="方正书宋_GBK"/>
              </w:rPr>
              <w:t>服务对象满意度指标</w:t>
            </w:r>
          </w:p>
        </w:tc>
        <w:tc>
          <w:tcPr>
            <w:tcW w:w="1985" w:type="dxa"/>
            <w:shd w:val="clear" w:color="auto" w:fill="auto"/>
            <w:vAlign w:val="center"/>
          </w:tcPr>
          <w:p>
            <w:pPr>
              <w:spacing w:line="300" w:lineRule="exact"/>
              <w:jc w:val="left"/>
              <w:rPr>
                <w:rFonts w:ascii="方正书宋_GBK" w:eastAsia="方正书宋_GBK"/>
              </w:rPr>
            </w:pPr>
            <w:r>
              <w:rPr>
                <w:rFonts w:ascii="方正书宋_GBK" w:eastAsia="方正书宋_GBK"/>
              </w:rPr>
              <w:t>检验检测客户满意率</w:t>
            </w:r>
          </w:p>
        </w:tc>
        <w:tc>
          <w:tcPr>
            <w:tcW w:w="3402" w:type="dxa"/>
            <w:shd w:val="clear" w:color="auto" w:fill="auto"/>
            <w:vAlign w:val="center"/>
          </w:tcPr>
          <w:p>
            <w:pPr>
              <w:spacing w:line="300" w:lineRule="exact"/>
              <w:jc w:val="left"/>
              <w:rPr>
                <w:rFonts w:ascii="方正书宋_GBK" w:eastAsia="方正书宋_GBK"/>
              </w:rPr>
            </w:pPr>
            <w:r>
              <w:rPr>
                <w:rFonts w:ascii="方正书宋_GBK" w:eastAsia="方正书宋_GBK"/>
              </w:rPr>
              <w:t>根据年度满意度测评结果，结果为满意的测评次数占测评总次数的比例</w:t>
            </w:r>
          </w:p>
        </w:tc>
        <w:tc>
          <w:tcPr>
            <w:tcW w:w="1843" w:type="dxa"/>
            <w:shd w:val="clear" w:color="auto" w:fill="auto"/>
            <w:vAlign w:val="center"/>
          </w:tcPr>
          <w:p>
            <w:pPr>
              <w:spacing w:line="300" w:lineRule="exact"/>
              <w:jc w:val="left"/>
              <w:rPr>
                <w:rFonts w:ascii="方正书宋_GBK" w:eastAsia="方正书宋_GBK"/>
              </w:rPr>
            </w:pPr>
            <w:r>
              <w:rPr>
                <w:rFonts w:ascii="方正书宋_GBK" w:eastAsia="方正书宋_GBK"/>
              </w:rPr>
              <w:t>≥95%</w:t>
            </w:r>
          </w:p>
        </w:tc>
        <w:tc>
          <w:tcPr>
            <w:tcW w:w="2103" w:type="dxa"/>
            <w:shd w:val="clear" w:color="auto" w:fill="auto"/>
            <w:vAlign w:val="center"/>
          </w:tcPr>
          <w:p>
            <w:pPr>
              <w:spacing w:line="300" w:lineRule="exact"/>
              <w:jc w:val="left"/>
              <w:rPr>
                <w:rFonts w:ascii="方正书宋_GBK" w:eastAsia="方正书宋_GBK"/>
              </w:rPr>
            </w:pPr>
            <w:r>
              <w:rPr>
                <w:rFonts w:ascii="方正书宋_GBK" w:eastAsia="方正书宋_GBK"/>
              </w:rPr>
              <w:t>本所质量管理规定</w:t>
            </w:r>
          </w:p>
        </w:tc>
      </w:tr>
    </w:tbl>
    <w:p>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pPr>
        <w:spacing w:line="584" w:lineRule="exact"/>
        <w:ind w:firstLine="640" w:firstLineChars="200"/>
        <w:outlineLvl w:val="0"/>
        <w:rPr>
          <w:rFonts w:ascii="Times New Roman" w:hAnsi="Times New Roman" w:eastAsia="仿宋_GB2312" w:cs="Times New Roman"/>
          <w:sz w:val="32"/>
          <w:szCs w:val="24"/>
        </w:rPr>
      </w:pPr>
      <w:bookmarkStart w:id="2"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20</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rPr>
        <w:t>2698.72</w:t>
      </w:r>
      <w:r>
        <w:rPr>
          <w:rFonts w:ascii="Times New Roman" w:hAnsi="Times New Roman" w:eastAsia="仿宋_GB2312" w:cs="Times New Roman"/>
          <w:sz w:val="32"/>
          <w:szCs w:val="24"/>
        </w:rPr>
        <w:t>万元。具体内容见下表。</w:t>
      </w:r>
    </w:p>
    <w:bookmarkEnd w:id="2"/>
    <w:p>
      <w:pPr>
        <w:spacing w:line="584" w:lineRule="exact"/>
        <w:jc w:val="center"/>
        <w:outlineLvl w:val="0"/>
        <w:rPr>
          <w:rFonts w:ascii="Times New Roman" w:hAnsi="Times New Roman" w:eastAsia="仿宋_GB2312" w:cs="Times New Roman"/>
          <w:sz w:val="32"/>
        </w:rPr>
      </w:pPr>
      <w:bookmarkStart w:id="3" w:name="_Toc504489153"/>
      <w:r>
        <w:rPr>
          <w:rFonts w:ascii="Times New Roman" w:hAnsi="Times New Roman" w:eastAsia="仿宋_GB2312" w:cs="Times New Roman"/>
          <w:sz w:val="32"/>
        </w:rPr>
        <w:t>部门政府采购预算</w:t>
      </w:r>
      <w:bookmarkEnd w:id="3"/>
    </w:p>
    <w:tbl>
      <w:tblPr>
        <w:tblStyle w:val="5"/>
        <w:tblW w:w="4851"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389"/>
        <w:gridCol w:w="1043"/>
        <w:gridCol w:w="912"/>
        <w:gridCol w:w="1419"/>
        <w:gridCol w:w="702"/>
        <w:gridCol w:w="900"/>
        <w:gridCol w:w="929"/>
        <w:gridCol w:w="938"/>
        <w:gridCol w:w="938"/>
        <w:gridCol w:w="941"/>
        <w:gridCol w:w="775"/>
        <w:gridCol w:w="909"/>
        <w:gridCol w:w="915"/>
        <w:gridCol w:w="8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847" w:type="pct"/>
            <w:gridSpan w:val="7"/>
            <w:tcBorders>
              <w:top w:val="single" w:color="FFFFFF" w:sz="6" w:space="0"/>
              <w:left w:val="single" w:color="FFFFFF" w:sz="6" w:space="0"/>
              <w:right w:val="single" w:color="FFFFFF" w:sz="6" w:space="0"/>
            </w:tcBorders>
            <w:shd w:val="clear" w:color="auto" w:fill="auto"/>
            <w:vAlign w:val="center"/>
          </w:tcPr>
          <w:p>
            <w:pPr>
              <w:spacing w:line="584" w:lineRule="exact"/>
              <w:jc w:val="left"/>
              <w:rPr>
                <w:rFonts w:ascii="Times New Roman" w:hAnsi="Times New Roman" w:eastAsia="仿宋_GB2312" w:cs="Times New Roman"/>
                <w:sz w:val="24"/>
              </w:rPr>
            </w:pPr>
            <w:r>
              <w:rPr>
                <w:rFonts w:hint="eastAsia" w:ascii="Times New Roman" w:hAnsi="Times New Roman" w:eastAsia="仿宋_GB2312" w:cs="Times New Roman"/>
                <w:sz w:val="24"/>
              </w:rPr>
              <w:t>243廊坊市市场监督管理局</w:t>
            </w:r>
          </w:p>
        </w:tc>
        <w:tc>
          <w:tcPr>
            <w:tcW w:w="2153" w:type="pct"/>
            <w:gridSpan w:val="7"/>
            <w:tcBorders>
              <w:top w:val="single" w:color="FFFFFF" w:sz="6" w:space="0"/>
              <w:left w:val="single" w:color="FFFFFF" w:sz="6" w:space="0"/>
              <w:right w:val="single" w:color="FFFFFF" w:sz="6" w:space="0"/>
            </w:tcBorders>
            <w:shd w:val="clear" w:color="auto" w:fill="auto"/>
            <w:vAlign w:val="center"/>
          </w:tcPr>
          <w:p>
            <w:pPr>
              <w:spacing w:line="584" w:lineRule="exact"/>
              <w:jc w:val="right"/>
              <w:rPr>
                <w:rFonts w:ascii="Times New Roman" w:hAnsi="Times New Roman" w:eastAsia="仿宋_GB2312" w:cs="Times New Roman"/>
                <w:sz w:val="24"/>
              </w:rPr>
            </w:pPr>
            <w:r>
              <w:rPr>
                <w:rFonts w:ascii="Times New Roman" w:hAnsi="Times New Roman" w:eastAsia="仿宋_GB2312" w:cs="Times New Roman"/>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1178" w:type="pct"/>
            <w:gridSpan w:val="2"/>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政府采购项目来源</w:t>
            </w:r>
          </w:p>
        </w:tc>
        <w:tc>
          <w:tcPr>
            <w:tcW w:w="313" w:type="pct"/>
            <w:vMerge w:val="restar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采购物品名称</w:t>
            </w:r>
          </w:p>
        </w:tc>
        <w:tc>
          <w:tcPr>
            <w:tcW w:w="487" w:type="pct"/>
            <w:vMerge w:val="restar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政府采购目录序号</w:t>
            </w:r>
          </w:p>
        </w:tc>
        <w:tc>
          <w:tcPr>
            <w:tcW w:w="241" w:type="pct"/>
            <w:vMerge w:val="restar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数量  单位</w:t>
            </w:r>
          </w:p>
        </w:tc>
        <w:tc>
          <w:tcPr>
            <w:tcW w:w="309" w:type="pct"/>
            <w:vMerge w:val="restar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数量</w:t>
            </w:r>
          </w:p>
        </w:tc>
        <w:tc>
          <w:tcPr>
            <w:tcW w:w="319" w:type="pct"/>
            <w:vMerge w:val="restar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单价</w:t>
            </w:r>
          </w:p>
        </w:tc>
        <w:tc>
          <w:tcPr>
            <w:tcW w:w="2153" w:type="pct"/>
            <w:gridSpan w:val="7"/>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政府采购金额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20" w:type="pct"/>
            <w:vMerge w:val="restar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项目名称</w:t>
            </w:r>
          </w:p>
        </w:tc>
        <w:tc>
          <w:tcPr>
            <w:tcW w:w="358" w:type="pct"/>
            <w:vMerge w:val="restar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预算资金</w:t>
            </w:r>
          </w:p>
        </w:tc>
        <w:tc>
          <w:tcPr>
            <w:tcW w:w="313"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c>
          <w:tcPr>
            <w:tcW w:w="487"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c>
          <w:tcPr>
            <w:tcW w:w="241"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c>
          <w:tcPr>
            <w:tcW w:w="309"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c>
          <w:tcPr>
            <w:tcW w:w="319"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c>
          <w:tcPr>
            <w:tcW w:w="322" w:type="pct"/>
            <w:vMerge w:val="restar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总计</w:t>
            </w:r>
          </w:p>
        </w:tc>
        <w:tc>
          <w:tcPr>
            <w:tcW w:w="1537" w:type="pct"/>
            <w:gridSpan w:val="5"/>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当年部门预算安排资金</w:t>
            </w:r>
          </w:p>
        </w:tc>
        <w:tc>
          <w:tcPr>
            <w:tcW w:w="294" w:type="pct"/>
            <w:vMerge w:val="restar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其他渠道资金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20"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c>
          <w:tcPr>
            <w:tcW w:w="358"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c>
          <w:tcPr>
            <w:tcW w:w="313"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c>
          <w:tcPr>
            <w:tcW w:w="487"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c>
          <w:tcPr>
            <w:tcW w:w="241"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c>
          <w:tcPr>
            <w:tcW w:w="309"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c>
          <w:tcPr>
            <w:tcW w:w="319"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c>
          <w:tcPr>
            <w:tcW w:w="322"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c>
          <w:tcPr>
            <w:tcW w:w="322" w:type="pc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合计</w:t>
            </w:r>
          </w:p>
        </w:tc>
        <w:tc>
          <w:tcPr>
            <w:tcW w:w="323" w:type="pc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一般公共预算拨款</w:t>
            </w:r>
          </w:p>
        </w:tc>
        <w:tc>
          <w:tcPr>
            <w:tcW w:w="266" w:type="pc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基金预算拨款</w:t>
            </w:r>
          </w:p>
        </w:tc>
        <w:tc>
          <w:tcPr>
            <w:tcW w:w="312" w:type="pc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财政专户核拨</w:t>
            </w:r>
          </w:p>
        </w:tc>
        <w:tc>
          <w:tcPr>
            <w:tcW w:w="314" w:type="pc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其他来源收入</w:t>
            </w:r>
          </w:p>
        </w:tc>
        <w:tc>
          <w:tcPr>
            <w:tcW w:w="294" w:type="pct"/>
            <w:vMerge w:val="continue"/>
            <w:shd w:val="clear" w:color="auto" w:fill="auto"/>
            <w:vAlign w:val="center"/>
          </w:tcPr>
          <w:p>
            <w:pPr>
              <w:spacing w:line="584" w:lineRule="exact"/>
              <w:jc w:val="left"/>
              <w:outlineLvl w:val="0"/>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center"/>
              <w:rPr>
                <w:rFonts w:ascii="Times New Roman" w:hAnsi="Times New Roman" w:eastAsia="仿宋_GB2312" w:cs="Times New Roman"/>
                <w:b/>
              </w:rPr>
            </w:pPr>
            <w:r>
              <w:rPr>
                <w:rFonts w:ascii="Times New Roman" w:hAnsi="Times New Roman" w:eastAsia="仿宋_GB2312" w:cs="Times New Roman"/>
                <w:b/>
              </w:rPr>
              <w:t>合　计</w:t>
            </w:r>
          </w:p>
        </w:tc>
        <w:tc>
          <w:tcPr>
            <w:tcW w:w="358" w:type="pct"/>
            <w:shd w:val="clear" w:color="auto" w:fill="auto"/>
            <w:vAlign w:val="center"/>
          </w:tcPr>
          <w:p>
            <w:pPr>
              <w:spacing w:line="584" w:lineRule="exact"/>
              <w:jc w:val="right"/>
              <w:rPr>
                <w:rFonts w:ascii="Times New Roman" w:hAnsi="Times New Roman" w:eastAsia="仿宋_GB2312" w:cs="Times New Roman"/>
                <w:b/>
              </w:rPr>
            </w:pPr>
          </w:p>
        </w:tc>
        <w:tc>
          <w:tcPr>
            <w:tcW w:w="313" w:type="pct"/>
            <w:shd w:val="clear" w:color="auto" w:fill="auto"/>
            <w:vAlign w:val="center"/>
          </w:tcPr>
          <w:p>
            <w:pPr>
              <w:spacing w:line="584" w:lineRule="exact"/>
              <w:jc w:val="left"/>
              <w:rPr>
                <w:rFonts w:ascii="Times New Roman" w:hAnsi="Times New Roman" w:eastAsia="仿宋_GB2312" w:cs="Times New Roman"/>
                <w:b/>
              </w:rPr>
            </w:pPr>
          </w:p>
        </w:tc>
        <w:tc>
          <w:tcPr>
            <w:tcW w:w="487" w:type="pct"/>
            <w:shd w:val="clear" w:color="auto" w:fill="auto"/>
            <w:vAlign w:val="center"/>
          </w:tcPr>
          <w:p>
            <w:pPr>
              <w:spacing w:line="584" w:lineRule="exact"/>
              <w:jc w:val="left"/>
              <w:rPr>
                <w:rFonts w:ascii="Times New Roman" w:hAnsi="Times New Roman" w:eastAsia="仿宋_GB2312" w:cs="Times New Roman"/>
                <w:b/>
              </w:rPr>
            </w:pPr>
          </w:p>
        </w:tc>
        <w:tc>
          <w:tcPr>
            <w:tcW w:w="241" w:type="pct"/>
            <w:shd w:val="clear" w:color="auto" w:fill="auto"/>
            <w:vAlign w:val="center"/>
          </w:tcPr>
          <w:p>
            <w:pPr>
              <w:spacing w:line="584" w:lineRule="exact"/>
              <w:jc w:val="left"/>
              <w:rPr>
                <w:rFonts w:ascii="Times New Roman" w:hAnsi="Times New Roman" w:eastAsia="仿宋_GB2312" w:cs="Times New Roman"/>
                <w:b/>
              </w:rPr>
            </w:pPr>
          </w:p>
        </w:tc>
        <w:tc>
          <w:tcPr>
            <w:tcW w:w="309" w:type="pct"/>
            <w:shd w:val="clear" w:color="auto" w:fill="auto"/>
            <w:vAlign w:val="center"/>
          </w:tcPr>
          <w:p>
            <w:pPr>
              <w:spacing w:line="584" w:lineRule="exact"/>
              <w:jc w:val="right"/>
              <w:rPr>
                <w:rFonts w:ascii="Times New Roman" w:hAnsi="Times New Roman" w:eastAsia="仿宋_GB2312" w:cs="Times New Roman"/>
                <w:b/>
              </w:rPr>
            </w:pPr>
          </w:p>
        </w:tc>
        <w:tc>
          <w:tcPr>
            <w:tcW w:w="319" w:type="pct"/>
            <w:shd w:val="clear" w:color="auto" w:fill="auto"/>
            <w:vAlign w:val="center"/>
          </w:tcPr>
          <w:p>
            <w:pPr>
              <w:spacing w:line="584" w:lineRule="exact"/>
              <w:jc w:val="right"/>
              <w:rPr>
                <w:rFonts w:ascii="Times New Roman" w:hAnsi="Times New Roman" w:eastAsia="仿宋_GB2312" w:cs="Times New Roman"/>
                <w:b/>
              </w:rPr>
            </w:pPr>
          </w:p>
        </w:tc>
        <w:tc>
          <w:tcPr>
            <w:tcW w:w="322" w:type="pct"/>
            <w:shd w:val="clear" w:color="auto" w:fill="auto"/>
            <w:vAlign w:val="center"/>
          </w:tcPr>
          <w:p>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2698.72</w:t>
            </w:r>
          </w:p>
        </w:tc>
        <w:tc>
          <w:tcPr>
            <w:tcW w:w="322" w:type="pct"/>
            <w:shd w:val="clear" w:color="auto" w:fill="auto"/>
            <w:vAlign w:val="center"/>
          </w:tcPr>
          <w:p>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2698.72</w:t>
            </w:r>
          </w:p>
        </w:tc>
        <w:tc>
          <w:tcPr>
            <w:tcW w:w="323" w:type="pct"/>
            <w:shd w:val="clear" w:color="auto" w:fill="auto"/>
            <w:vAlign w:val="center"/>
          </w:tcPr>
          <w:p>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2698.72</w:t>
            </w:r>
          </w:p>
        </w:tc>
        <w:tc>
          <w:tcPr>
            <w:tcW w:w="266" w:type="pct"/>
            <w:shd w:val="clear" w:color="auto" w:fill="auto"/>
            <w:vAlign w:val="center"/>
          </w:tcPr>
          <w:p>
            <w:pPr>
              <w:spacing w:line="584" w:lineRule="exact"/>
              <w:jc w:val="right"/>
              <w:rPr>
                <w:rFonts w:ascii="Times New Roman" w:hAnsi="Times New Roman" w:eastAsia="仿宋_GB2312" w:cs="Times New Roman"/>
                <w:b/>
              </w:rPr>
            </w:pPr>
          </w:p>
        </w:tc>
        <w:tc>
          <w:tcPr>
            <w:tcW w:w="312" w:type="pct"/>
            <w:shd w:val="clear" w:color="auto" w:fill="auto"/>
            <w:vAlign w:val="center"/>
          </w:tcPr>
          <w:p>
            <w:pPr>
              <w:spacing w:line="584" w:lineRule="exact"/>
              <w:jc w:val="right"/>
              <w:rPr>
                <w:rFonts w:ascii="Times New Roman" w:hAnsi="Times New Roman" w:eastAsia="仿宋_GB2312" w:cs="Times New Roman"/>
                <w:b/>
              </w:rPr>
            </w:pPr>
          </w:p>
        </w:tc>
        <w:tc>
          <w:tcPr>
            <w:tcW w:w="314" w:type="pct"/>
            <w:shd w:val="clear" w:color="auto" w:fill="auto"/>
            <w:vAlign w:val="center"/>
          </w:tcPr>
          <w:p>
            <w:pPr>
              <w:spacing w:line="584" w:lineRule="exact"/>
              <w:jc w:val="right"/>
              <w:rPr>
                <w:rFonts w:ascii="Times New Roman" w:hAnsi="Times New Roman" w:eastAsia="仿宋_GB2312" w:cs="Times New Roman"/>
                <w:b/>
              </w:rPr>
            </w:pPr>
          </w:p>
        </w:tc>
        <w:tc>
          <w:tcPr>
            <w:tcW w:w="294" w:type="pct"/>
            <w:shd w:val="clear" w:color="auto" w:fill="auto"/>
            <w:vAlign w:val="center"/>
          </w:tcPr>
          <w:p>
            <w:pPr>
              <w:spacing w:line="584" w:lineRule="exact"/>
              <w:jc w:val="right"/>
              <w:rPr>
                <w:rFonts w:ascii="Times New Roman" w:hAnsi="Times New Roman" w:eastAsia="仿宋_GB2312" w:cs="Times New Roman"/>
                <w: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b/>
              </w:rPr>
            </w:pPr>
            <w:r>
              <w:rPr>
                <w:rFonts w:hint="eastAsia" w:ascii="Times New Roman" w:hAnsi="Times New Roman" w:eastAsia="仿宋_GB2312" w:cs="Times New Roman"/>
              </w:rPr>
              <w:t>物业费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35.00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物业管理服务</w:t>
            </w:r>
          </w:p>
        </w:tc>
        <w:tc>
          <w:tcPr>
            <w:tcW w:w="487" w:type="pct"/>
            <w:shd w:val="clear" w:color="auto" w:fill="auto"/>
            <w:vAlign w:val="center"/>
          </w:tcPr>
          <w:p>
            <w:pPr>
              <w:spacing w:line="584" w:lineRule="exact"/>
              <w:jc w:val="left"/>
              <w:rPr>
                <w:rFonts w:ascii="Times New Roman" w:hAnsi="Times New Roman" w:eastAsia="仿宋_GB2312" w:cs="Times New Roman"/>
                <w:b/>
              </w:rPr>
            </w:pPr>
            <w:r>
              <w:rPr>
                <w:rFonts w:hint="eastAsia" w:ascii="Times New Roman" w:hAnsi="Times New Roman" w:eastAsia="仿宋_GB2312" w:cs="Times New Roman"/>
                <w:b/>
              </w:rPr>
              <w:t>C1204</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35.00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35.00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35.00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35.00</w:t>
            </w:r>
          </w:p>
        </w:tc>
        <w:tc>
          <w:tcPr>
            <w:tcW w:w="266" w:type="pct"/>
            <w:shd w:val="clear" w:color="auto" w:fill="auto"/>
            <w:vAlign w:val="center"/>
          </w:tcPr>
          <w:p>
            <w:pPr>
              <w:spacing w:line="584" w:lineRule="exact"/>
              <w:jc w:val="right"/>
              <w:rPr>
                <w:rFonts w:ascii="Times New Roman" w:hAnsi="Times New Roman" w:eastAsia="仿宋_GB2312" w:cs="Times New Roman"/>
                <w:b/>
              </w:rPr>
            </w:pPr>
          </w:p>
        </w:tc>
        <w:tc>
          <w:tcPr>
            <w:tcW w:w="312" w:type="pct"/>
            <w:shd w:val="clear" w:color="auto" w:fill="auto"/>
            <w:vAlign w:val="center"/>
          </w:tcPr>
          <w:p>
            <w:pPr>
              <w:spacing w:line="584" w:lineRule="exact"/>
              <w:jc w:val="right"/>
              <w:rPr>
                <w:rFonts w:ascii="Times New Roman" w:hAnsi="Times New Roman" w:eastAsia="仿宋_GB2312" w:cs="Times New Roman"/>
                <w:b/>
              </w:rPr>
            </w:pPr>
          </w:p>
        </w:tc>
        <w:tc>
          <w:tcPr>
            <w:tcW w:w="314" w:type="pct"/>
            <w:shd w:val="clear" w:color="auto" w:fill="auto"/>
            <w:vAlign w:val="center"/>
          </w:tcPr>
          <w:p>
            <w:pPr>
              <w:spacing w:line="584" w:lineRule="exact"/>
              <w:jc w:val="right"/>
              <w:rPr>
                <w:rFonts w:ascii="Times New Roman" w:hAnsi="Times New Roman" w:eastAsia="仿宋_GB2312" w:cs="Times New Roman"/>
                <w:b/>
              </w:rPr>
            </w:pPr>
          </w:p>
        </w:tc>
        <w:tc>
          <w:tcPr>
            <w:tcW w:w="294" w:type="pct"/>
            <w:shd w:val="clear" w:color="auto" w:fill="auto"/>
            <w:vAlign w:val="center"/>
          </w:tcPr>
          <w:p>
            <w:pPr>
              <w:spacing w:line="584" w:lineRule="exact"/>
              <w:jc w:val="right"/>
              <w:rPr>
                <w:rFonts w:ascii="Times New Roman" w:hAnsi="Times New Roman" w:eastAsia="仿宋_GB2312" w:cs="Times New Roman"/>
                <w: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食品抽检经费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350.00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1750.00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350.00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350.00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350.00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打击非法传销工作及奖励经费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92.00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次</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21.00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84.00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84.00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84.00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办公设备购置经费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音响电视组合机</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A02091205</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套</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办公设备购置经费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通用摄像机</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A02091102</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0.80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1.60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1.60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1.60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办公设备购置经费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电冰箱</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A0206180101</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办公设备购置经费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复印机</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A020201</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办公设备购置经费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台式计算机</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A02010104</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0.50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办公设备购置经费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激光打印机</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A0201060102</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办公设备购置经费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多功能一体机</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A020204</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0.30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1.80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1.80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1.80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办公设备购置经费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扫描仪</w:t>
            </w:r>
          </w:p>
        </w:tc>
        <w:tc>
          <w:tcPr>
            <w:tcW w:w="487" w:type="pct"/>
            <w:shd w:val="clear" w:color="auto" w:fill="auto"/>
            <w:vAlign w:val="center"/>
          </w:tcPr>
          <w:p>
            <w:pPr>
              <w:spacing w:line="584" w:lineRule="exact"/>
              <w:jc w:val="left"/>
              <w:rPr>
                <w:rFonts w:ascii="Times New Roman" w:hAnsi="Times New Roman" w:eastAsia="仿宋_GB2312" w:cs="Times New Roman"/>
                <w:b/>
              </w:rPr>
            </w:pPr>
            <w:r>
              <w:rPr>
                <w:rFonts w:hint="eastAsia" w:ascii="Times New Roman" w:hAnsi="Times New Roman" w:eastAsia="仿宋_GB2312" w:cs="Times New Roman"/>
                <w:b/>
              </w:rPr>
              <w:t>A0201060901</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0.40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0.40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0.40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0.40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办公设备购置经费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掌上电脑</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A02010106</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0.60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4.80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4.80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4.80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办公设备购置经费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其他数据录入设备</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A0201061299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30.00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0.35</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10.50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10.50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10.50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办公设备购置经费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木质台、桌类</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A060205</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1.50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1.50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1.50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1.50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新闻宣传工作经费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118.00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新闻宣传工作经费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118.00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次</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58.00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58.00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58.00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58.00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质量发展经费</w:t>
            </w:r>
          </w:p>
        </w:tc>
        <w:tc>
          <w:tcPr>
            <w:tcW w:w="358" w:type="pct"/>
            <w:shd w:val="clear" w:color="auto" w:fill="auto"/>
            <w:vAlign w:val="center"/>
          </w:tcPr>
          <w:p>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100.00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C99</w:t>
            </w:r>
          </w:p>
        </w:tc>
        <w:tc>
          <w:tcPr>
            <w:tcW w:w="241" w:type="pct"/>
            <w:shd w:val="clear" w:color="auto" w:fill="auto"/>
            <w:vAlign w:val="center"/>
          </w:tcPr>
          <w:p>
            <w:pPr>
              <w:spacing w:line="584" w:lineRule="exact"/>
              <w:jc w:val="left"/>
              <w:rPr>
                <w:rFonts w:ascii="Times New Roman" w:hAnsi="Times New Roman" w:eastAsia="仿宋_GB2312" w:cs="Times New Roman"/>
                <w:b/>
              </w:rPr>
            </w:pPr>
            <w:r>
              <w:rPr>
                <w:rFonts w:hint="eastAsia" w:ascii="Times New Roman" w:hAnsi="Times New Roman" w:eastAsia="仿宋_GB2312" w:cs="Times New Roman"/>
                <w:b/>
              </w:rPr>
              <w:t>全年</w:t>
            </w:r>
          </w:p>
        </w:tc>
        <w:tc>
          <w:tcPr>
            <w:tcW w:w="309" w:type="pct"/>
            <w:shd w:val="clear" w:color="auto" w:fill="auto"/>
            <w:vAlign w:val="center"/>
          </w:tcPr>
          <w:p>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1.00</w:t>
            </w:r>
          </w:p>
        </w:tc>
        <w:tc>
          <w:tcPr>
            <w:tcW w:w="319" w:type="pct"/>
            <w:shd w:val="clear" w:color="auto" w:fill="auto"/>
            <w:vAlign w:val="center"/>
          </w:tcPr>
          <w:p>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55.00</w:t>
            </w:r>
          </w:p>
        </w:tc>
        <w:tc>
          <w:tcPr>
            <w:tcW w:w="322" w:type="pct"/>
            <w:shd w:val="clear" w:color="auto" w:fill="auto"/>
            <w:vAlign w:val="center"/>
          </w:tcPr>
          <w:p>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55.00</w:t>
            </w:r>
          </w:p>
        </w:tc>
        <w:tc>
          <w:tcPr>
            <w:tcW w:w="322" w:type="pct"/>
            <w:shd w:val="clear" w:color="auto" w:fill="auto"/>
            <w:vAlign w:val="center"/>
          </w:tcPr>
          <w:p>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55.00</w:t>
            </w:r>
          </w:p>
        </w:tc>
        <w:tc>
          <w:tcPr>
            <w:tcW w:w="323" w:type="pct"/>
            <w:shd w:val="clear" w:color="auto" w:fill="auto"/>
            <w:vAlign w:val="center"/>
          </w:tcPr>
          <w:p>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55.00</w:t>
            </w:r>
          </w:p>
        </w:tc>
        <w:tc>
          <w:tcPr>
            <w:tcW w:w="266" w:type="pct"/>
            <w:shd w:val="clear" w:color="auto" w:fill="auto"/>
            <w:vAlign w:val="center"/>
          </w:tcPr>
          <w:p>
            <w:pPr>
              <w:spacing w:line="584" w:lineRule="exact"/>
              <w:jc w:val="right"/>
              <w:rPr>
                <w:rFonts w:ascii="Times New Roman" w:hAnsi="Times New Roman" w:eastAsia="仿宋_GB2312" w:cs="Times New Roman"/>
                <w:b/>
              </w:rPr>
            </w:pPr>
          </w:p>
        </w:tc>
        <w:tc>
          <w:tcPr>
            <w:tcW w:w="312" w:type="pct"/>
            <w:shd w:val="clear" w:color="auto" w:fill="auto"/>
            <w:vAlign w:val="center"/>
          </w:tcPr>
          <w:p>
            <w:pPr>
              <w:spacing w:line="584" w:lineRule="exact"/>
              <w:jc w:val="right"/>
              <w:rPr>
                <w:rFonts w:ascii="Times New Roman" w:hAnsi="Times New Roman" w:eastAsia="仿宋_GB2312" w:cs="Times New Roman"/>
                <w:b/>
              </w:rPr>
            </w:pPr>
          </w:p>
        </w:tc>
        <w:tc>
          <w:tcPr>
            <w:tcW w:w="314" w:type="pct"/>
            <w:shd w:val="clear" w:color="auto" w:fill="auto"/>
            <w:vAlign w:val="center"/>
          </w:tcPr>
          <w:p>
            <w:pPr>
              <w:spacing w:line="584" w:lineRule="exact"/>
              <w:jc w:val="right"/>
              <w:rPr>
                <w:rFonts w:ascii="Times New Roman" w:hAnsi="Times New Roman" w:eastAsia="仿宋_GB2312" w:cs="Times New Roman"/>
                <w:b/>
              </w:rPr>
            </w:pPr>
          </w:p>
        </w:tc>
        <w:tc>
          <w:tcPr>
            <w:tcW w:w="294" w:type="pct"/>
            <w:shd w:val="clear" w:color="auto" w:fill="auto"/>
            <w:vAlign w:val="center"/>
          </w:tcPr>
          <w:p>
            <w:pPr>
              <w:spacing w:line="584" w:lineRule="exact"/>
              <w:jc w:val="right"/>
              <w:rPr>
                <w:rFonts w:ascii="Times New Roman" w:hAnsi="Times New Roman" w:eastAsia="仿宋_GB2312" w:cs="Times New Roman"/>
                <w: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质量发展经费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强制检定、计量惠民检测费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460.00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测试评估认证服务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C0205</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460.00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460.00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460.00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460.00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质量强市建设经费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质量强市建设经费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技术测试和分析服务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C0901</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质量强市建设经费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其它数据处理服务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C020399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市场主体信用监管经费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审计服务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C0803</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59.00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59.00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59.00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59.00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质量监管经费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330.00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66.00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66.00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66.00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大气治理经费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90.00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网络维护费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273.44</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其他运行维护服务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b/>
              </w:rPr>
              <w:t>C020699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网络维护费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273.44</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数字电话电报终端机</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A02081007</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部</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120.00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0.62</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74.40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74.40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74.40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网络维护费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273.44</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空调机组</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A02052305</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套</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5.50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5.50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5.50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5.50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网络维护费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273.44</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其他网络连接设备</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A0201020999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套</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网络维护费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273.44</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其他视频会议设备</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A02080899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网络维护费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273.44</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其他计算机设备及软件</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A020199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套</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12.84</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12.84</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12.84</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12.84</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12315投诉举报中心平台建设项目经费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262.64</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通信网络维护和管理系统</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A020816</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套</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89.25</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89.25</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89.25</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89.25</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12315投诉举报中心平台建设项目经费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262.64</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服务器</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A02010103</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33.03</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33.03</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33.03</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33.03</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12315投诉举报中心平台建设项目经费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262.64</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信息安全软件</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A02010805</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120.93</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120.93</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120.93</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120.93</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12315投诉举报中心平台建设项目经费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262.64</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信息安全软件</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A02010805</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1.80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1.80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1.80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1.80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12315投诉举报中心平台建设项目经费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262.64</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音频功率放大器设备</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A02091203</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套</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0.26</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0.26</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0.26</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0.26</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认证认可监管经费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测试评估认证服务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C0205</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35.00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35.00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35.00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35.00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办公楼改造维修资金</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其他台、桌类</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A060299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4.46</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4.46</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4.46</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4.46</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办公楼改造维修资金</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装修工程</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B07</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栋</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51.75</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51.75</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51.75</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51.75</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办公楼改造维修资金</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普通电视设备</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A02091001</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0.50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1.50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1.50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1.50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食品安全示范城市创建经费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C99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75.00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75.00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75.00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75.00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提前下达2020年中央食品药品监管补助资金（冀财行[2019]49号）</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412.00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其他服务</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C99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检验检测专用材料购置经费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其他化学制品</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A170199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批次</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电子信息中心综合运行费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225.00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其他化学制品</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A170199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批次</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25.00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25.00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25.00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25.00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质量仪器设备购置经费</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210.00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其他专用仪器仪表</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A033499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台套</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210.00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210.00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210.00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210.00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0"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食品检验检测专用材料及试剂资金</w:t>
            </w:r>
          </w:p>
        </w:tc>
        <w:tc>
          <w:tcPr>
            <w:tcW w:w="358"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150.00</w:t>
            </w:r>
          </w:p>
        </w:tc>
        <w:tc>
          <w:tcPr>
            <w:tcW w:w="313"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其他化学制品</w:t>
            </w:r>
          </w:p>
        </w:tc>
        <w:tc>
          <w:tcPr>
            <w:tcW w:w="487"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A170199</w:t>
            </w:r>
          </w:p>
        </w:tc>
        <w:tc>
          <w:tcPr>
            <w:tcW w:w="241" w:type="pct"/>
            <w:shd w:val="clear" w:color="auto" w:fill="auto"/>
            <w:vAlign w:val="center"/>
          </w:tcPr>
          <w:p>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w:t>
            </w:r>
          </w:p>
        </w:tc>
        <w:tc>
          <w:tcPr>
            <w:tcW w:w="30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3.00</w:t>
            </w:r>
          </w:p>
        </w:tc>
        <w:tc>
          <w:tcPr>
            <w:tcW w:w="319"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150.00</w:t>
            </w:r>
          </w:p>
        </w:tc>
        <w:tc>
          <w:tcPr>
            <w:tcW w:w="322"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150.00</w:t>
            </w:r>
          </w:p>
        </w:tc>
        <w:tc>
          <w:tcPr>
            <w:tcW w:w="323" w:type="pct"/>
            <w:shd w:val="clear" w:color="auto" w:fill="auto"/>
            <w:vAlign w:val="center"/>
          </w:tcPr>
          <w:p>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150.00</w:t>
            </w:r>
          </w:p>
        </w:tc>
        <w:tc>
          <w:tcPr>
            <w:tcW w:w="266" w:type="pct"/>
            <w:shd w:val="clear" w:color="auto" w:fill="auto"/>
            <w:vAlign w:val="center"/>
          </w:tcPr>
          <w:p>
            <w:pPr>
              <w:spacing w:line="584" w:lineRule="exact"/>
              <w:jc w:val="right"/>
              <w:rPr>
                <w:rFonts w:ascii="Times New Roman" w:hAnsi="Times New Roman" w:eastAsia="仿宋_GB2312" w:cs="Times New Roman"/>
              </w:rPr>
            </w:pPr>
          </w:p>
        </w:tc>
        <w:tc>
          <w:tcPr>
            <w:tcW w:w="312" w:type="pct"/>
            <w:shd w:val="clear" w:color="auto" w:fill="auto"/>
            <w:vAlign w:val="center"/>
          </w:tcPr>
          <w:p>
            <w:pPr>
              <w:spacing w:line="584" w:lineRule="exact"/>
              <w:jc w:val="right"/>
              <w:rPr>
                <w:rFonts w:ascii="Times New Roman" w:hAnsi="Times New Roman" w:eastAsia="仿宋_GB2312" w:cs="Times New Roman"/>
              </w:rPr>
            </w:pPr>
          </w:p>
        </w:tc>
        <w:tc>
          <w:tcPr>
            <w:tcW w:w="314" w:type="pct"/>
            <w:shd w:val="clear" w:color="auto" w:fill="auto"/>
            <w:vAlign w:val="center"/>
          </w:tcPr>
          <w:p>
            <w:pPr>
              <w:spacing w:line="584" w:lineRule="exact"/>
              <w:jc w:val="right"/>
              <w:rPr>
                <w:rFonts w:ascii="Times New Roman" w:hAnsi="Times New Roman" w:eastAsia="仿宋_GB2312" w:cs="Times New Roman"/>
              </w:rPr>
            </w:pPr>
          </w:p>
        </w:tc>
        <w:tc>
          <w:tcPr>
            <w:tcW w:w="294" w:type="pct"/>
            <w:shd w:val="clear" w:color="auto" w:fill="auto"/>
            <w:vAlign w:val="center"/>
          </w:tcPr>
          <w:p>
            <w:pPr>
              <w:spacing w:line="584" w:lineRule="exact"/>
              <w:jc w:val="right"/>
              <w:rPr>
                <w:rFonts w:ascii="Times New Roman" w:hAnsi="Times New Roman" w:eastAsia="仿宋_GB2312" w:cs="Times New Roman"/>
              </w:rPr>
            </w:pPr>
          </w:p>
        </w:tc>
      </w:tr>
    </w:tbl>
    <w:p>
      <w:pPr>
        <w:spacing w:line="584" w:lineRule="exact"/>
        <w:jc w:val="left"/>
        <w:outlineLvl w:val="0"/>
        <w:rPr>
          <w:rFonts w:ascii="Times New Roman" w:hAnsi="Times New Roman" w:eastAsia="仿宋_GB2312" w:cs="Times New Roman"/>
        </w:rPr>
        <w:sectPr>
          <w:footerReference r:id="rId3" w:type="default"/>
          <w:pgSz w:w="16839" w:h="11907" w:orient="landscape"/>
          <w:pgMar w:top="1361" w:right="1020" w:bottom="1361" w:left="1020" w:header="851" w:footer="992" w:gutter="0"/>
          <w:cols w:space="425" w:num="1"/>
          <w:docGrid w:type="lines" w:linePitch="312" w:charSpace="0"/>
        </w:sectPr>
      </w:pP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七、国有资产信息</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市场监督管理局</w:t>
      </w:r>
      <w:r>
        <w:rPr>
          <w:rFonts w:ascii="Times New Roman" w:hAnsi="Times New Roman" w:eastAsia="仿宋_GB2312" w:cs="Times New Roman"/>
          <w:sz w:val="32"/>
          <w:szCs w:val="32"/>
        </w:rPr>
        <w:t>（含所属单位）上年末固定资产金额为</w:t>
      </w:r>
      <w:r>
        <w:rPr>
          <w:rFonts w:hint="eastAsia" w:ascii="Times New Roman" w:hAnsi="Times New Roman" w:eastAsia="仿宋_GB2312" w:cs="Times New Roman"/>
          <w:sz w:val="32"/>
          <w:szCs w:val="32"/>
        </w:rPr>
        <w:t>30262.77</w:t>
      </w:r>
      <w:r>
        <w:rPr>
          <w:rFonts w:ascii="Times New Roman" w:hAnsi="Times New Roman" w:eastAsia="仿宋_GB2312" w:cs="Times New Roman"/>
          <w:sz w:val="32"/>
          <w:szCs w:val="32"/>
        </w:rPr>
        <w:t>万元，本年度我部门拟购置固定资产</w:t>
      </w:r>
      <w:r>
        <w:rPr>
          <w:rFonts w:hint="eastAsia" w:ascii="Times New Roman" w:hAnsi="Times New Roman" w:eastAsia="仿宋_GB2312" w:cs="Times New Roman"/>
          <w:sz w:val="32"/>
          <w:szCs w:val="32"/>
        </w:rPr>
        <w:t>总额为675.43万元，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质量仪器专用设备、数字电话电报终端机、</w:t>
      </w:r>
      <w:r>
        <w:rPr>
          <w:rFonts w:ascii="Times New Roman" w:hAnsi="Times New Roman" w:eastAsia="仿宋_GB2312" w:cs="Times New Roman"/>
          <w:sz w:val="32"/>
          <w:szCs w:val="32"/>
        </w:rPr>
        <w:t>计算机设备、打印设备、空调、办公家具等，已列入政府采购预算。详见下表。</w:t>
      </w:r>
    </w:p>
    <w:p>
      <w:pPr>
        <w:spacing w:line="584" w:lineRule="exact"/>
        <w:ind w:firstLine="640"/>
        <w:rPr>
          <w:rFonts w:ascii="Times New Roman" w:hAnsi="Times New Roman" w:eastAsia="仿宋_GB2312" w:cs="Times New Roman"/>
          <w:sz w:val="32"/>
          <w:szCs w:val="32"/>
        </w:rPr>
      </w:pPr>
    </w:p>
    <w:tbl>
      <w:tblPr>
        <w:tblStyle w:val="5"/>
        <w:tblW w:w="13325" w:type="dxa"/>
        <w:tblInd w:w="93" w:type="dxa"/>
        <w:tblLayout w:type="autofit"/>
        <w:tblCellMar>
          <w:top w:w="0" w:type="dxa"/>
          <w:left w:w="108" w:type="dxa"/>
          <w:bottom w:w="0" w:type="dxa"/>
          <w:right w:w="108" w:type="dxa"/>
        </w:tblCellMar>
      </w:tblPr>
      <w:tblGrid>
        <w:gridCol w:w="5224"/>
        <w:gridCol w:w="3155"/>
        <w:gridCol w:w="5103"/>
      </w:tblGrid>
      <w:tr>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rPr>
              <w:t>市场监督管理局</w:t>
            </w:r>
          </w:p>
        </w:tc>
        <w:tc>
          <w:tcPr>
            <w:tcW w:w="5103" w:type="dxa"/>
            <w:tcBorders>
              <w:top w:val="nil"/>
              <w:left w:val="nil"/>
              <w:bottom w:val="nil"/>
              <w:right w:val="nil"/>
            </w:tcBorders>
            <w:shd w:val="clear" w:color="auto" w:fill="auto"/>
            <w:noWrap/>
            <w:vAlign w:val="center"/>
          </w:tcPr>
          <w:p>
            <w:pPr>
              <w:widowControl/>
              <w:spacing w:line="584" w:lineRule="exact"/>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 xml:space="preserve">              </w:t>
            </w:r>
            <w:r>
              <w:rPr>
                <w:rFonts w:ascii="Times New Roman" w:hAnsi="Times New Roman" w:eastAsia="仿宋_GB2312" w:cs="Times New Roman"/>
                <w:kern w:val="0"/>
                <w:sz w:val="22"/>
              </w:rPr>
              <w:t>截止时间：201</w:t>
            </w:r>
            <w:r>
              <w:rPr>
                <w:rFonts w:hint="eastAsia" w:ascii="Times New Roman" w:hAnsi="Times New Roman" w:eastAsia="仿宋_GB2312" w:cs="Times New Roman"/>
                <w:kern w:val="0"/>
                <w:sz w:val="22"/>
              </w:rPr>
              <w:t>9</w:t>
            </w:r>
            <w:r>
              <w:rPr>
                <w:rFonts w:ascii="Times New Roman" w:hAnsi="Times New Roman" w:eastAsia="仿宋_GB2312" w:cs="Times New Roman"/>
                <w:kern w:val="0"/>
                <w:sz w:val="22"/>
              </w:rPr>
              <w:t xml:space="preserve">年12月31日  </w:t>
            </w:r>
          </w:p>
        </w:tc>
      </w:tr>
      <w:tr>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30262.77</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40675.46</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12251.12</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6097.84</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798.69</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48</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885.20</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9129</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17126.45</w:t>
            </w:r>
          </w:p>
        </w:tc>
      </w:tr>
    </w:tbl>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p>
      <w:pPr>
        <w:spacing w:line="584" w:lineRule="exact"/>
        <w:rPr>
          <w:rFonts w:ascii="Times New Roman" w:hAnsi="Times New Roman" w:eastAsia="仿宋_GB2312" w:cs="Times New Roman"/>
          <w:sz w:val="32"/>
          <w:szCs w:val="32"/>
        </w:rPr>
      </w:pPr>
    </w:p>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SimSun-ExtB"/>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书宋_GBK">
    <w:altName w:val="SimSun-ExtB"/>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imSun-ExtB">
    <w:panose1 w:val="02010609060101010101"/>
    <w:charset w:val="86"/>
    <w:family w:val="auto"/>
    <w:pitch w:val="default"/>
    <w:sig w:usb0="00000001" w:usb1="02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4349198"/>
    </w:sdtPr>
    <w:sdtContent>
      <w:p>
        <w:pPr>
          <w:pStyle w:val="3"/>
          <w:jc w:val="center"/>
        </w:pPr>
        <w:r>
          <w:rPr>
            <w:rFonts w:hint="eastAsia"/>
          </w:rPr>
          <w:t>-</w:t>
        </w:r>
        <w:r>
          <w:fldChar w:fldCharType="begin"/>
        </w:r>
        <w:r>
          <w:instrText xml:space="preserve">PAGE   \* MERGEFORMAT</w:instrText>
        </w:r>
        <w:r>
          <w:fldChar w:fldCharType="separate"/>
        </w:r>
        <w:r>
          <w:rPr>
            <w:lang w:val="zh-CN"/>
          </w:rPr>
          <w:t>64</w:t>
        </w:r>
        <w:r>
          <w:rPr>
            <w:lang w:val="zh-CN"/>
          </w:rPr>
          <w:fldChar w:fldCharType="end"/>
        </w:r>
        <w:r>
          <w:rPr>
            <w:rFonts w:hint="eastAsia"/>
          </w:rPr>
          <w:t>-</w:t>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0B2C"/>
    <w:rsid w:val="00014A98"/>
    <w:rsid w:val="00066997"/>
    <w:rsid w:val="00072969"/>
    <w:rsid w:val="00074C58"/>
    <w:rsid w:val="00080892"/>
    <w:rsid w:val="00086414"/>
    <w:rsid w:val="000A3CD8"/>
    <w:rsid w:val="000B72CB"/>
    <w:rsid w:val="000D06F3"/>
    <w:rsid w:val="000D2D9F"/>
    <w:rsid w:val="000D5F6E"/>
    <w:rsid w:val="000E6FCD"/>
    <w:rsid w:val="000F3F49"/>
    <w:rsid w:val="00112911"/>
    <w:rsid w:val="00134F7E"/>
    <w:rsid w:val="001514A2"/>
    <w:rsid w:val="001536D7"/>
    <w:rsid w:val="001707C6"/>
    <w:rsid w:val="001B62AA"/>
    <w:rsid w:val="001C75E8"/>
    <w:rsid w:val="001D3E08"/>
    <w:rsid w:val="00203348"/>
    <w:rsid w:val="002112EC"/>
    <w:rsid w:val="00216816"/>
    <w:rsid w:val="002538AB"/>
    <w:rsid w:val="00261541"/>
    <w:rsid w:val="00286AE5"/>
    <w:rsid w:val="002C5215"/>
    <w:rsid w:val="002C6E93"/>
    <w:rsid w:val="002D4367"/>
    <w:rsid w:val="002D6668"/>
    <w:rsid w:val="00302C1C"/>
    <w:rsid w:val="0032323A"/>
    <w:rsid w:val="003346DE"/>
    <w:rsid w:val="003407A3"/>
    <w:rsid w:val="00356775"/>
    <w:rsid w:val="003E02A2"/>
    <w:rsid w:val="0041198B"/>
    <w:rsid w:val="00465C4C"/>
    <w:rsid w:val="00482529"/>
    <w:rsid w:val="00487050"/>
    <w:rsid w:val="004A11FC"/>
    <w:rsid w:val="004C21D9"/>
    <w:rsid w:val="0051605A"/>
    <w:rsid w:val="00522445"/>
    <w:rsid w:val="00563560"/>
    <w:rsid w:val="00580EEC"/>
    <w:rsid w:val="00586365"/>
    <w:rsid w:val="005A0302"/>
    <w:rsid w:val="005E3BE9"/>
    <w:rsid w:val="00644797"/>
    <w:rsid w:val="00650448"/>
    <w:rsid w:val="0067239C"/>
    <w:rsid w:val="00690E5F"/>
    <w:rsid w:val="00691B97"/>
    <w:rsid w:val="006B0881"/>
    <w:rsid w:val="006C37D5"/>
    <w:rsid w:val="00702554"/>
    <w:rsid w:val="00710FBB"/>
    <w:rsid w:val="007143A3"/>
    <w:rsid w:val="0074540B"/>
    <w:rsid w:val="00746D0D"/>
    <w:rsid w:val="00770BCF"/>
    <w:rsid w:val="007770D4"/>
    <w:rsid w:val="00780C1F"/>
    <w:rsid w:val="00784C7F"/>
    <w:rsid w:val="007A15B5"/>
    <w:rsid w:val="007C41AC"/>
    <w:rsid w:val="007C5BFB"/>
    <w:rsid w:val="007D1A26"/>
    <w:rsid w:val="007D689D"/>
    <w:rsid w:val="007E5355"/>
    <w:rsid w:val="007F21E2"/>
    <w:rsid w:val="00806678"/>
    <w:rsid w:val="00822E66"/>
    <w:rsid w:val="00823582"/>
    <w:rsid w:val="008305D1"/>
    <w:rsid w:val="00854B14"/>
    <w:rsid w:val="00857BBA"/>
    <w:rsid w:val="00861ECC"/>
    <w:rsid w:val="00877B2E"/>
    <w:rsid w:val="00882138"/>
    <w:rsid w:val="00883252"/>
    <w:rsid w:val="008C209C"/>
    <w:rsid w:val="008D669D"/>
    <w:rsid w:val="008F492F"/>
    <w:rsid w:val="008F62D8"/>
    <w:rsid w:val="009461D1"/>
    <w:rsid w:val="00955A78"/>
    <w:rsid w:val="00987D7E"/>
    <w:rsid w:val="009951DD"/>
    <w:rsid w:val="00995410"/>
    <w:rsid w:val="009B1B95"/>
    <w:rsid w:val="009B45E9"/>
    <w:rsid w:val="009F3205"/>
    <w:rsid w:val="009F3BF5"/>
    <w:rsid w:val="00A01DEE"/>
    <w:rsid w:val="00A25CC5"/>
    <w:rsid w:val="00A461DA"/>
    <w:rsid w:val="00A86568"/>
    <w:rsid w:val="00A94D45"/>
    <w:rsid w:val="00AC195F"/>
    <w:rsid w:val="00AC21FA"/>
    <w:rsid w:val="00AF3D8E"/>
    <w:rsid w:val="00B02C09"/>
    <w:rsid w:val="00B23CDF"/>
    <w:rsid w:val="00B36728"/>
    <w:rsid w:val="00B64783"/>
    <w:rsid w:val="00B80B2C"/>
    <w:rsid w:val="00BA0A12"/>
    <w:rsid w:val="00BA50E8"/>
    <w:rsid w:val="00BD15FA"/>
    <w:rsid w:val="00BD5F3C"/>
    <w:rsid w:val="00BF393B"/>
    <w:rsid w:val="00BF6C1D"/>
    <w:rsid w:val="00C10EFA"/>
    <w:rsid w:val="00C124F8"/>
    <w:rsid w:val="00C17A26"/>
    <w:rsid w:val="00C53014"/>
    <w:rsid w:val="00C67D18"/>
    <w:rsid w:val="00CB2A63"/>
    <w:rsid w:val="00D129E3"/>
    <w:rsid w:val="00D42EDC"/>
    <w:rsid w:val="00D5007D"/>
    <w:rsid w:val="00D503E5"/>
    <w:rsid w:val="00D53D7F"/>
    <w:rsid w:val="00D70336"/>
    <w:rsid w:val="00D9109B"/>
    <w:rsid w:val="00DB6DCF"/>
    <w:rsid w:val="00DD37B8"/>
    <w:rsid w:val="00DD3A76"/>
    <w:rsid w:val="00DD4BA3"/>
    <w:rsid w:val="00DE064F"/>
    <w:rsid w:val="00DE2E14"/>
    <w:rsid w:val="00DE7414"/>
    <w:rsid w:val="00DF66E3"/>
    <w:rsid w:val="00E015FF"/>
    <w:rsid w:val="00E05292"/>
    <w:rsid w:val="00E43411"/>
    <w:rsid w:val="00E5264B"/>
    <w:rsid w:val="00E61CE2"/>
    <w:rsid w:val="00EC3884"/>
    <w:rsid w:val="00ED195A"/>
    <w:rsid w:val="00EE1796"/>
    <w:rsid w:val="00EF6DA5"/>
    <w:rsid w:val="00EF7425"/>
    <w:rsid w:val="00F001CA"/>
    <w:rsid w:val="00F115B6"/>
    <w:rsid w:val="00F27325"/>
    <w:rsid w:val="00F746ED"/>
    <w:rsid w:val="00FA60CA"/>
    <w:rsid w:val="00FB5800"/>
    <w:rsid w:val="00FD6F3B"/>
    <w:rsid w:val="03753092"/>
    <w:rsid w:val="059737B9"/>
    <w:rsid w:val="06627B04"/>
    <w:rsid w:val="109D2F33"/>
    <w:rsid w:val="15B52F06"/>
    <w:rsid w:val="163A4014"/>
    <w:rsid w:val="16B33527"/>
    <w:rsid w:val="1AB84EA7"/>
    <w:rsid w:val="1D175470"/>
    <w:rsid w:val="1DF10788"/>
    <w:rsid w:val="1E9D3CAD"/>
    <w:rsid w:val="1EA93C21"/>
    <w:rsid w:val="20416A00"/>
    <w:rsid w:val="217B29A2"/>
    <w:rsid w:val="2C3E6CCC"/>
    <w:rsid w:val="2CD44FED"/>
    <w:rsid w:val="2E181852"/>
    <w:rsid w:val="340F082F"/>
    <w:rsid w:val="360D42E1"/>
    <w:rsid w:val="37B42D79"/>
    <w:rsid w:val="38BC6045"/>
    <w:rsid w:val="3A6A380C"/>
    <w:rsid w:val="3AA172DF"/>
    <w:rsid w:val="3C3B0B77"/>
    <w:rsid w:val="42031DF5"/>
    <w:rsid w:val="4227062F"/>
    <w:rsid w:val="478B5E36"/>
    <w:rsid w:val="48AD4A93"/>
    <w:rsid w:val="4DB26405"/>
    <w:rsid w:val="4DBD6782"/>
    <w:rsid w:val="4F10143E"/>
    <w:rsid w:val="4FEC6F17"/>
    <w:rsid w:val="541B64FF"/>
    <w:rsid w:val="59E24744"/>
    <w:rsid w:val="5BBB1609"/>
    <w:rsid w:val="6037556F"/>
    <w:rsid w:val="6C2F3B8B"/>
    <w:rsid w:val="6D4B717F"/>
    <w:rsid w:val="6E2E0DB2"/>
    <w:rsid w:val="724E5B12"/>
    <w:rsid w:val="73CD10FC"/>
    <w:rsid w:val="769D7B50"/>
    <w:rsid w:val="793F6E34"/>
    <w:rsid w:val="7BE1400C"/>
    <w:rsid w:val="7C584866"/>
    <w:rsid w:val="7EEF1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7"/>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等线" w:hAnsi="等线" w:eastAsia="等线" w:cs="Times New Roman"/>
      <w:sz w:val="18"/>
      <w:szCs w:val="18"/>
    </w:rPr>
  </w:style>
  <w:style w:type="character" w:customStyle="1" w:styleId="7">
    <w:name w:val="页脚 Char"/>
    <w:basedOn w:val="6"/>
    <w:link w:val="3"/>
    <w:qFormat/>
    <w:uiPriority w:val="99"/>
    <w:rPr>
      <w:rFonts w:ascii="Times New Roman" w:hAnsi="Times New Roman" w:eastAsia="宋体" w:cs="Times New Roman"/>
      <w:sz w:val="18"/>
      <w:szCs w:val="18"/>
    </w:rPr>
  </w:style>
  <w:style w:type="character" w:customStyle="1" w:styleId="8">
    <w:name w:val="页眉 Char1"/>
    <w:link w:val="4"/>
    <w:qFormat/>
    <w:uiPriority w:val="99"/>
    <w:rPr>
      <w:rFonts w:ascii="等线" w:hAnsi="等线" w:eastAsia="等线" w:cs="Times New Roman"/>
      <w:sz w:val="18"/>
      <w:szCs w:val="18"/>
    </w:rPr>
  </w:style>
  <w:style w:type="character" w:customStyle="1" w:styleId="9">
    <w:name w:val="页眉 Char"/>
    <w:basedOn w:val="6"/>
    <w:link w:val="4"/>
    <w:semiHidden/>
    <w:qFormat/>
    <w:uiPriority w:val="99"/>
    <w:rPr>
      <w:sz w:val="18"/>
      <w:szCs w:val="18"/>
    </w:rPr>
  </w:style>
  <w:style w:type="character" w:customStyle="1" w:styleId="10">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5255</Words>
  <Characters>29960</Characters>
  <Lines>249</Lines>
  <Paragraphs>70</Paragraphs>
  <TotalTime>84</TotalTime>
  <ScaleCrop>false</ScaleCrop>
  <LinksUpToDate>false</LinksUpToDate>
  <CharactersWithSpaces>35145</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2020-01-21T06:49:00Z</dcterms:created>
  <dc:creator>赵宏</dc:creator>
  <cp:lastModifiedBy>Administrator</cp:lastModifiedBy>
  <dcterms:modified xsi:type="dcterms:W3CDTF">2020-01-21T01:57:22Z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